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eastAsiaTheme="minorHAnsi"/>
        </w:rPr>
      </w:sdtEndPr>
      <w:sdtContent>
        <w:p w:rsidR="00F07361" w:rsidRDefault="00F07361" w:rsidP="00F602D8">
          <w:pPr>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Default="00F07361" w:rsidP="00F07361">
          <w:pPr>
            <w:ind w:left="720"/>
            <w:rPr>
              <w:b/>
              <w:color w:val="777777"/>
              <w:szCs w:val="20"/>
            </w:rPr>
          </w:pPr>
        </w:p>
        <w:p w:rsidR="00F07361" w:rsidRPr="007A43E3" w:rsidRDefault="00F07361" w:rsidP="00F07361"/>
        <w:p w:rsidR="00F602D8" w:rsidRDefault="00F602D8" w:rsidP="00BB5571">
          <w:pPr>
            <w:jc w:val="center"/>
            <w:rPr>
              <w:rFonts w:eastAsiaTheme="minorEastAsia"/>
              <w:b/>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rPr>
              <w:rFonts w:eastAsiaTheme="minorEastAsia"/>
              <w:sz w:val="32"/>
              <w:lang w:val="en-US" w:eastAsia="ja-JP"/>
            </w:rPr>
          </w:pPr>
        </w:p>
        <w:p w:rsidR="00F602D8" w:rsidRPr="00F602D8" w:rsidRDefault="00F602D8" w:rsidP="00F602D8">
          <w:pPr>
            <w:jc w:val="center"/>
            <w:rPr>
              <w:rFonts w:eastAsiaTheme="minorEastAsia"/>
              <w:sz w:val="32"/>
              <w:lang w:val="en-US" w:eastAsia="ja-JP"/>
            </w:rPr>
          </w:pPr>
        </w:p>
        <w:p w:rsidR="00F602D8" w:rsidRPr="00F602D8" w:rsidRDefault="00F602D8" w:rsidP="00F602D8">
          <w:pPr>
            <w:rPr>
              <w:rFonts w:eastAsiaTheme="minorEastAsia"/>
              <w:sz w:val="32"/>
              <w:lang w:val="en-US" w:eastAsia="ja-JP"/>
            </w:rPr>
          </w:pPr>
        </w:p>
        <w:p w:rsidR="0048266B" w:rsidRDefault="0048266B" w:rsidP="00F602D8">
          <w:pPr>
            <w:rPr>
              <w:rFonts w:eastAsiaTheme="minorEastAsia"/>
              <w:sz w:val="32"/>
              <w:lang w:val="en-US" w:eastAsia="ja-JP"/>
            </w:rPr>
          </w:pPr>
        </w:p>
        <w:p w:rsidR="0048266B" w:rsidRPr="0048266B" w:rsidRDefault="0048266B" w:rsidP="0048266B">
          <w:pPr>
            <w:rPr>
              <w:rFonts w:eastAsiaTheme="minorEastAsia"/>
              <w:sz w:val="32"/>
              <w:lang w:val="en-US" w:eastAsia="ja-JP"/>
            </w:rPr>
          </w:pPr>
        </w:p>
        <w:p w:rsidR="00F07361" w:rsidRDefault="0048266B" w:rsidP="0048266B">
          <w:pPr>
            <w:tabs>
              <w:tab w:val="left" w:pos="6285"/>
            </w:tabs>
            <w:rPr>
              <w:rFonts w:eastAsiaTheme="minorEastAsia"/>
              <w:b/>
              <w:sz w:val="32"/>
              <w:lang w:val="en-US" w:eastAsia="ja-JP"/>
            </w:rPr>
          </w:pPr>
          <w:r>
            <w:rPr>
              <w:rFonts w:eastAsiaTheme="minorEastAsia"/>
              <w:sz w:val="32"/>
              <w:lang w:val="en-US" w:eastAsia="ja-JP"/>
            </w:rPr>
            <w:tab/>
          </w:r>
        </w:p>
        <w:p w:rsidR="00BB5571" w:rsidRDefault="00BB5571" w:rsidP="00BB5571">
          <w:pPr>
            <w:jc w:val="center"/>
            <w:rPr>
              <w:rFonts w:eastAsiaTheme="minorEastAsia"/>
              <w:b/>
              <w:sz w:val="32"/>
              <w:lang w:val="en-US" w:eastAsia="ja-JP"/>
            </w:rPr>
          </w:pPr>
          <w:r w:rsidRPr="00152787">
            <w:rPr>
              <w:rFonts w:asciiTheme="majorHAnsi" w:eastAsiaTheme="majorEastAsia" w:hAnsiTheme="majorHAnsi" w:cstheme="majorHAnsi"/>
              <w:noProof/>
              <w:sz w:val="80"/>
              <w:szCs w:val="80"/>
              <w:lang w:eastAsia="en-GB"/>
            </w:rPr>
            <w:lastRenderedPageBreak/>
            <mc:AlternateContent>
              <mc:Choice Requires="wps">
                <w:drawing>
                  <wp:inline distT="0" distB="0" distL="0" distR="0" wp14:anchorId="3989AEFF" wp14:editId="720B45E0">
                    <wp:extent cx="5223753" cy="1348740"/>
                    <wp:effectExtent l="0" t="0" r="15240" b="2286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753" cy="1348740"/>
                            </a:xfrm>
                            <a:prstGeom prst="bracketPair">
                              <a:avLst>
                                <a:gd name="adj" fmla="val 8051"/>
                              </a:avLst>
                            </a:prstGeom>
                            <a:ln>
                              <a:solidFill>
                                <a:schemeClr val="tx1"/>
                              </a:solidFill>
                              <a:headEnd/>
                              <a:tailEnd/>
                            </a:ln>
                            <a:extLst/>
                          </wps:spPr>
                          <wps:style>
                            <a:lnRef idx="1">
                              <a:schemeClr val="dk1"/>
                            </a:lnRef>
                            <a:fillRef idx="0">
                              <a:schemeClr val="dk1"/>
                            </a:fillRef>
                            <a:effectRef idx="0">
                              <a:schemeClr val="dk1"/>
                            </a:effectRef>
                            <a:fontRef idx="minor">
                              <a:schemeClr val="tx1"/>
                            </a:fontRef>
                          </wps:style>
                          <wps:txbx>
                            <w:txbxContent>
                              <w:p w:rsidR="00DF7766" w:rsidRPr="00BF79A1" w:rsidRDefault="00DF7766" w:rsidP="00BB5571">
                                <w:pPr>
                                  <w:spacing w:after="0"/>
                                  <w:jc w:val="center"/>
                                  <w:rPr>
                                    <w:rStyle w:val="Strong"/>
                                    <w:rFonts w:ascii="Arial" w:hAnsi="Arial" w:cs="Arial"/>
                                    <w:sz w:val="72"/>
                                  </w:rPr>
                                </w:pPr>
                                <w:r>
                                  <w:rPr>
                                    <w:rFonts w:eastAsiaTheme="minorEastAsia"/>
                                    <w:b/>
                                    <w:sz w:val="72"/>
                                    <w:szCs w:val="72"/>
                                    <w:lang w:val="en-US" w:eastAsia="ja-JP"/>
                                  </w:rPr>
                                  <w:t>Marking and Feedback Policy</w:t>
                                </w:r>
                                <w:r w:rsidR="0048266B">
                                  <w:rPr>
                                    <w:rFonts w:eastAsiaTheme="minorEastAsia"/>
                                    <w:b/>
                                    <w:sz w:val="72"/>
                                    <w:szCs w:val="72"/>
                                    <w:lang w:val="en-US" w:eastAsia="ja-JP"/>
                                  </w:rPr>
                                  <w:t xml:space="preserve"> 2019/20</w:t>
                                </w:r>
                              </w:p>
                            </w:txbxContent>
                          </wps:txbx>
                          <wps:bodyPr rot="0" vert="horz" wrap="square" lIns="45720" tIns="45720" rIns="45720" bIns="45720" anchor="ctr" anchorCtr="0" upright="1">
                            <a:noAutofit/>
                          </wps:bodyPr>
                        </wps:wsp>
                      </a:graphicData>
                    </a:graphic>
                  </wp:inline>
                </w:drawing>
              </mc:Choice>
              <mc:Fallback>
                <w:pict>
                  <v:shapetype w14:anchorId="3989AE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11.3pt;height:10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" adj="1739" strokecolor="black [3213]">
                    <v:textbox inset="3.6pt,,3.6pt">
                      <w:txbxContent>
                        <w:p w:rsidR="00DF7766" w:rsidRPr="00BF79A1" w:rsidRDefault="00DF7766" w:rsidP="00BB5571">
                          <w:pPr>
                            <w:spacing w:after="0"/>
                            <w:jc w:val="center"/>
                            <w:rPr>
                              <w:rStyle w:val="Strong"/>
                              <w:rFonts w:ascii="Arial" w:hAnsi="Arial" w:cs="Arial"/>
                              <w:sz w:val="72"/>
                            </w:rPr>
                          </w:pPr>
                          <w:r>
                            <w:rPr>
                              <w:rFonts w:eastAsiaTheme="minorEastAsia"/>
                              <w:b/>
                              <w:sz w:val="72"/>
                              <w:szCs w:val="72"/>
                              <w:lang w:val="en-US" w:eastAsia="ja-JP"/>
                            </w:rPr>
                            <w:t>Marking and Feedback Policy</w:t>
                          </w:r>
                          <w:r w:rsidR="0048266B">
                            <w:rPr>
                              <w:rFonts w:eastAsiaTheme="minorEastAsia"/>
                              <w:b/>
                              <w:sz w:val="72"/>
                              <w:szCs w:val="72"/>
                              <w:lang w:val="en-US" w:eastAsia="ja-JP"/>
                            </w:rPr>
                            <w:t xml:space="preserve"> 2019/20</w:t>
                          </w:r>
                        </w:p>
                      </w:txbxContent>
                    </v:textbox>
                    <w10:anchorlock/>
                  </v:shape>
                </w:pict>
              </mc:Fallback>
            </mc:AlternateContent>
          </w:r>
        </w:p>
        <w:p w:rsidR="00F07361" w:rsidRDefault="00F07361" w:rsidP="00BB5571">
          <w:pPr>
            <w:jc w:val="center"/>
            <w:rPr>
              <w:rFonts w:eastAsiaTheme="minorEastAsia"/>
              <w:b/>
              <w:sz w:val="32"/>
              <w:lang w:val="en-US" w:eastAsia="ja-JP"/>
            </w:rPr>
          </w:pPr>
        </w:p>
        <w:p w:rsidR="00F07361" w:rsidRDefault="00F07361" w:rsidP="00BB5571">
          <w:pPr>
            <w:jc w:val="center"/>
            <w:rPr>
              <w:rFonts w:eastAsiaTheme="minorEastAsia"/>
              <w:b/>
              <w:sz w:val="32"/>
              <w:lang w:val="en-US" w:eastAsia="ja-JP"/>
            </w:rPr>
          </w:pPr>
        </w:p>
        <w:p w:rsidR="00BB5571" w:rsidRDefault="00BB5571" w:rsidP="00BB5571">
          <w:pPr>
            <w:jc w:val="center"/>
            <w:rPr>
              <w:rFonts w:eastAsiaTheme="minorEastAsia"/>
              <w:b/>
              <w:sz w:val="32"/>
              <w:lang w:val="en-US" w:eastAsia="ja-JP"/>
            </w:rPr>
          </w:pPr>
          <w:r>
            <w:rPr>
              <w:noProof/>
              <w:sz w:val="32"/>
              <w:lang w:eastAsia="en-GB"/>
            </w:rPr>
            <mc:AlternateContent>
              <mc:Choice Requires="wps">
                <w:drawing>
                  <wp:inline distT="0" distB="0" distL="0" distR="0" wp14:anchorId="35848907" wp14:editId="3889A5B0">
                    <wp:extent cx="2833635" cy="1718268"/>
                    <wp:effectExtent l="0" t="0" r="24130" b="15875"/>
                    <wp:docPr id="18" name="Rounded Rectangle 18"/>
                    <wp:cNvGraphicFramePr/>
                    <a:graphic xmlns:a="http://schemas.openxmlformats.org/drawingml/2006/main">
                      <a:graphicData uri="http://schemas.microsoft.com/office/word/2010/wordprocessingShape">
                        <wps:wsp>
                          <wps:cNvSpPr/>
                          <wps:spPr>
                            <a:xfrm>
                              <a:off x="0" y="0"/>
                              <a:ext cx="2833635" cy="1718268"/>
                            </a:xfrm>
                            <a:prstGeom prst="roundRect">
                              <a:avLst/>
                            </a:prstGeom>
                          </wps:spPr>
                          <wps:style>
                            <a:lnRef idx="2">
                              <a:schemeClr val="dk1"/>
                            </a:lnRef>
                            <a:fillRef idx="1">
                              <a:schemeClr val="lt1"/>
                            </a:fillRef>
                            <a:effectRef idx="0">
                              <a:schemeClr val="dk1"/>
                            </a:effectRef>
                            <a:fontRef idx="minor">
                              <a:schemeClr val="dk1"/>
                            </a:fontRef>
                          </wps:style>
                          <wps:txbx>
                            <w:txbxContent>
                              <w:p w:rsidR="00DF7766" w:rsidRPr="00892BC2" w:rsidRDefault="00DF7766" w:rsidP="00BB5571">
                                <w:pPr>
                                  <w:jc w:val="center"/>
                                  <w:rPr>
                                    <w:rFonts w:ascii="Arial" w:hAnsi="Arial" w:cs="Arial"/>
                                    <w:sz w:val="44"/>
                                  </w:rPr>
                                </w:pPr>
                                <w:r w:rsidRPr="00F3379A">
                                  <w:rPr>
                                    <w:noProof/>
                                    <w:lang w:eastAsia="en-GB"/>
                                  </w:rPr>
                                  <w:drawing>
                                    <wp:inline distT="0" distB="0" distL="0" distR="0" wp14:anchorId="3872189A" wp14:editId="0C26A364">
                                      <wp:extent cx="10477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848907" id="Rounded Rectangle 18" o:spid="_x0000_s1027" style="width:223.1pt;height:1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" fillcolor="white [3201]" strokecolor="black [3200]" strokeweight="2pt">
                    <v:textbox>
                      <w:txbxContent>
                        <w:p w:rsidR="00DF7766" w:rsidRPr="00892BC2" w:rsidRDefault="00DF7766" w:rsidP="00BB5571">
                          <w:pPr>
                            <w:jc w:val="center"/>
                            <w:rPr>
                              <w:rFonts w:ascii="Arial" w:hAnsi="Arial" w:cs="Arial"/>
                              <w:sz w:val="44"/>
                            </w:rPr>
                          </w:pPr>
                          <w:r w:rsidRPr="00F3379A">
                            <w:rPr>
                              <w:noProof/>
                              <w:lang w:eastAsia="en-GB"/>
                            </w:rPr>
                            <w:drawing>
                              <wp:inline distT="0" distB="0" distL="0" distR="0" wp14:anchorId="3872189A" wp14:editId="0C26A364">
                                <wp:extent cx="10477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txbxContent>
                    </v:textbox>
                    <w10:anchorlock/>
                  </v:roundrect>
                </w:pict>
              </mc:Fallback>
            </mc:AlternateContent>
          </w:r>
          <w:r>
            <w:rPr>
              <w:rFonts w:eastAsiaTheme="minorEastAsia"/>
              <w:b/>
              <w:sz w:val="32"/>
              <w:lang w:val="en-US" w:eastAsia="ja-JP"/>
            </w:rPr>
            <w:t xml:space="preserve"> </w:t>
          </w:r>
        </w:p>
        <w:p w:rsidR="00BB5571" w:rsidRDefault="00BB5571" w:rsidP="00BB5571">
          <w:pPr>
            <w:jc w:val="center"/>
            <w:rPr>
              <w:rFonts w:eastAsiaTheme="minorEastAsia"/>
              <w:b/>
              <w:sz w:val="32"/>
              <w:lang w:val="en-US" w:eastAsia="ja-JP"/>
            </w:rPr>
          </w:pPr>
        </w:p>
        <w:p w:rsidR="00253BCA" w:rsidRPr="001A4BE7" w:rsidRDefault="00253BCA" w:rsidP="00BB5571">
          <w:pPr>
            <w:jc w:val="center"/>
            <w:rPr>
              <w:rFonts w:ascii="Arial" w:eastAsiaTheme="majorEastAsia" w:hAnsi="Arial" w:cs="Arial"/>
              <w:color w:val="000000" w:themeColor="text1"/>
              <w:sz w:val="28"/>
              <w:szCs w:val="28"/>
              <w:lang w:eastAsia="ja-JP"/>
            </w:rPr>
          </w:pPr>
        </w:p>
        <w:p w:rsidR="00B656C3" w:rsidRDefault="00B656C3" w:rsidP="00F07361">
          <w:pPr>
            <w:pBdr>
              <w:bottom w:val="single" w:sz="4" w:space="1" w:color="auto"/>
            </w:pBdr>
            <w:jc w:val="center"/>
            <w:rPr>
              <w:rFonts w:ascii="Arial" w:eastAsiaTheme="majorEastAsia" w:hAnsi="Arial" w:cs="Arial"/>
              <w:color w:val="000000" w:themeColor="text1"/>
              <w:sz w:val="72"/>
              <w:szCs w:val="80"/>
              <w:lang w:eastAsia="ja-JP"/>
            </w:rPr>
          </w:pPr>
        </w:p>
        <w:tbl>
          <w:tblPr>
            <w:tblStyle w:val="TableGrid"/>
            <w:tblpPr w:leftFromText="180" w:rightFromText="180"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712138" w:rsidRPr="00F47C76" w:rsidTr="00CF6217">
            <w:trPr>
              <w:trHeight w:val="389"/>
            </w:trPr>
            <w:tc>
              <w:tcPr>
                <w:tcW w:w="9242" w:type="dxa"/>
                <w:gridSpan w:val="4"/>
                <w:vAlign w:val="center"/>
              </w:tcPr>
              <w:p w:rsidR="00712138" w:rsidRPr="00F47C76" w:rsidRDefault="00712138" w:rsidP="00CF6217">
                <w:r w:rsidRPr="00F47C76">
                  <w:t>Signed by:</w:t>
                </w:r>
              </w:p>
            </w:tc>
          </w:tr>
          <w:tr w:rsidR="00712138" w:rsidRPr="00F47C76" w:rsidTr="00CF6217">
            <w:trPr>
              <w:trHeight w:val="624"/>
            </w:trPr>
            <w:tc>
              <w:tcPr>
                <w:tcW w:w="2813" w:type="dxa"/>
                <w:tcBorders>
                  <w:bottom w:val="single" w:sz="2" w:space="0" w:color="auto"/>
                </w:tcBorders>
              </w:tcPr>
              <w:p w:rsidR="00712138" w:rsidRPr="00F47C76" w:rsidRDefault="00712138" w:rsidP="00CF6217"/>
            </w:tc>
            <w:tc>
              <w:tcPr>
                <w:tcW w:w="2365" w:type="dxa"/>
                <w:vAlign w:val="bottom"/>
              </w:tcPr>
              <w:p w:rsidR="00712138" w:rsidRPr="00F47C76" w:rsidRDefault="00712138" w:rsidP="00CF6217">
                <w:r w:rsidRPr="00F47C76">
                  <w:rPr>
                    <w:highlight w:val="lightGray"/>
                  </w:rPr>
                  <w:t>Headteacher</w:t>
                </w:r>
              </w:p>
            </w:tc>
            <w:tc>
              <w:tcPr>
                <w:tcW w:w="846" w:type="dxa"/>
                <w:vAlign w:val="bottom"/>
              </w:tcPr>
              <w:p w:rsidR="00712138" w:rsidRPr="00F47C76" w:rsidRDefault="00712138" w:rsidP="00CF6217">
                <w:pPr>
                  <w:jc w:val="right"/>
                </w:pPr>
                <w:r w:rsidRPr="00F47C76">
                  <w:t>Date:</w:t>
                </w:r>
              </w:p>
            </w:tc>
            <w:tc>
              <w:tcPr>
                <w:tcW w:w="3218" w:type="dxa"/>
                <w:tcBorders>
                  <w:bottom w:val="single" w:sz="2" w:space="0" w:color="auto"/>
                </w:tcBorders>
              </w:tcPr>
              <w:p w:rsidR="00712138" w:rsidRPr="00F47C76" w:rsidRDefault="00712138" w:rsidP="00CF6217"/>
            </w:tc>
          </w:tr>
          <w:tr w:rsidR="00712138" w:rsidRPr="00F47C76" w:rsidTr="00CF6217">
            <w:trPr>
              <w:trHeight w:val="624"/>
            </w:trPr>
            <w:tc>
              <w:tcPr>
                <w:tcW w:w="2813" w:type="dxa"/>
                <w:tcBorders>
                  <w:top w:val="single" w:sz="2" w:space="0" w:color="auto"/>
                  <w:bottom w:val="single" w:sz="2" w:space="0" w:color="auto"/>
                </w:tcBorders>
              </w:tcPr>
              <w:p w:rsidR="00712138" w:rsidRPr="00F47C76" w:rsidRDefault="00712138" w:rsidP="00CF6217"/>
            </w:tc>
            <w:tc>
              <w:tcPr>
                <w:tcW w:w="2365" w:type="dxa"/>
                <w:vAlign w:val="bottom"/>
              </w:tcPr>
              <w:p w:rsidR="00712138" w:rsidRPr="00F47C76" w:rsidRDefault="00712138" w:rsidP="00CF6217">
                <w:pPr>
                  <w:rPr>
                    <w:highlight w:val="lightGray"/>
                  </w:rPr>
                </w:pPr>
                <w:r w:rsidRPr="00F47C76">
                  <w:t>Chair of governors</w:t>
                </w:r>
              </w:p>
            </w:tc>
            <w:tc>
              <w:tcPr>
                <w:tcW w:w="846" w:type="dxa"/>
                <w:vAlign w:val="bottom"/>
              </w:tcPr>
              <w:p w:rsidR="00712138" w:rsidRPr="00F47C76" w:rsidRDefault="00712138" w:rsidP="00CF6217">
                <w:pPr>
                  <w:jc w:val="right"/>
                </w:pPr>
                <w:r w:rsidRPr="00F47C76">
                  <w:t>Date:</w:t>
                </w:r>
              </w:p>
            </w:tc>
            <w:tc>
              <w:tcPr>
                <w:tcW w:w="3218" w:type="dxa"/>
                <w:tcBorders>
                  <w:top w:val="single" w:sz="2" w:space="0" w:color="auto"/>
                  <w:bottom w:val="single" w:sz="2" w:space="0" w:color="auto"/>
                </w:tcBorders>
              </w:tcPr>
              <w:p w:rsidR="00712138" w:rsidRPr="00F47C76" w:rsidRDefault="00712138" w:rsidP="00CF6217"/>
            </w:tc>
          </w:tr>
        </w:tbl>
        <w:p w:rsidR="00B656C3" w:rsidRDefault="00B656C3" w:rsidP="00F07361">
          <w:pPr>
            <w:pBdr>
              <w:bottom w:val="single" w:sz="4" w:space="1" w:color="auto"/>
            </w:pBdr>
            <w:jc w:val="center"/>
            <w:rPr>
              <w:rFonts w:ascii="Arial" w:eastAsiaTheme="majorEastAsia" w:hAnsi="Arial" w:cs="Arial"/>
              <w:color w:val="000000" w:themeColor="text1"/>
              <w:sz w:val="72"/>
              <w:szCs w:val="80"/>
              <w:lang w:eastAsia="ja-JP"/>
            </w:rPr>
          </w:pPr>
        </w:p>
        <w:p w:rsidR="00B656C3" w:rsidRDefault="00B656C3" w:rsidP="00F07361">
          <w:pPr>
            <w:pBdr>
              <w:bottom w:val="single" w:sz="4" w:space="1" w:color="auto"/>
            </w:pBdr>
            <w:jc w:val="center"/>
            <w:rPr>
              <w:rFonts w:ascii="Arial" w:eastAsiaTheme="majorEastAsia" w:hAnsi="Arial" w:cs="Arial"/>
              <w:color w:val="000000" w:themeColor="text1"/>
              <w:sz w:val="72"/>
              <w:szCs w:val="80"/>
              <w:lang w:eastAsia="ja-JP"/>
            </w:rPr>
          </w:pPr>
        </w:p>
        <w:p w:rsidR="0048266B" w:rsidRDefault="0048266B" w:rsidP="001509F4">
          <w:pPr>
            <w:rPr>
              <w:b/>
              <w:sz w:val="32"/>
              <w:lang w:val="en-US" w:eastAsia="ja-JP"/>
            </w:rPr>
          </w:pPr>
        </w:p>
        <w:p w:rsidR="00AD4155" w:rsidRPr="001509F4" w:rsidRDefault="001509F4" w:rsidP="001509F4">
          <w:pPr>
            <w:rPr>
              <w:b/>
              <w:sz w:val="32"/>
              <w:lang w:val="en-US" w:eastAsia="ja-JP"/>
            </w:rPr>
          </w:pPr>
          <w:r w:rsidRPr="001509F4">
            <w:rPr>
              <w:b/>
              <w:sz w:val="32"/>
              <w:lang w:val="en-US" w:eastAsia="ja-JP"/>
            </w:rPr>
            <w:lastRenderedPageBreak/>
            <w:t>Contents:</w:t>
          </w:r>
        </w:p>
      </w:sdtContent>
    </w:sdt>
    <w:p w:rsidR="00AD4155" w:rsidRPr="001509F4" w:rsidRDefault="006C394B" w:rsidP="008D67F0">
      <w:pPr>
        <w:spacing w:before="120" w:after="120" w:line="320" w:lineRule="exact"/>
        <w:rPr>
          <w:rFonts w:ascii="Arial" w:hAnsi="Arial" w:cs="Arial"/>
        </w:rPr>
      </w:pPr>
      <w:hyperlink w:anchor="_Statement_of_Intent" w:history="1">
        <w:r w:rsidR="0034160E" w:rsidRPr="0034160E">
          <w:rPr>
            <w:rStyle w:val="Hyperlink"/>
            <w:rFonts w:ascii="Arial" w:hAnsi="Arial" w:cs="Arial"/>
          </w:rPr>
          <w:t>Statement of intent</w:t>
        </w:r>
        <w:bookmarkStart w:id="0" w:name="a"/>
        <w:bookmarkEnd w:id="0"/>
      </w:hyperlink>
    </w:p>
    <w:p w:rsidR="00212661" w:rsidRPr="00F07361" w:rsidRDefault="006C394B" w:rsidP="00212661">
      <w:pPr>
        <w:pStyle w:val="ListParagraph"/>
        <w:numPr>
          <w:ilvl w:val="0"/>
          <w:numId w:val="1"/>
        </w:numPr>
        <w:spacing w:before="120" w:after="120" w:line="320" w:lineRule="exact"/>
        <w:rPr>
          <w:rFonts w:ascii="Arial" w:hAnsi="Arial" w:cs="Arial"/>
          <w:sz w:val="28"/>
        </w:rPr>
      </w:pPr>
      <w:hyperlink w:anchor="_Marking" w:history="1">
        <w:r w:rsidR="0034160E" w:rsidRPr="0034160E">
          <w:rPr>
            <w:rStyle w:val="Hyperlink"/>
            <w:rFonts w:ascii="Arial" w:hAnsi="Arial" w:cs="Arial"/>
          </w:rPr>
          <w:t>Marking</w:t>
        </w:r>
        <w:bookmarkStart w:id="1" w:name="b"/>
        <w:bookmarkEnd w:id="1"/>
      </w:hyperlink>
      <w:r w:rsidR="0034160E">
        <w:rPr>
          <w:rFonts w:ascii="Arial" w:hAnsi="Arial" w:cs="Arial"/>
        </w:rPr>
        <w:tab/>
      </w:r>
    </w:p>
    <w:p w:rsidR="00F602D8" w:rsidRPr="00F602D8" w:rsidRDefault="00F602D8" w:rsidP="00F602D8">
      <w:pPr>
        <w:pStyle w:val="ListParagraph"/>
        <w:numPr>
          <w:ilvl w:val="0"/>
          <w:numId w:val="1"/>
        </w:numPr>
        <w:spacing w:before="120" w:after="120" w:line="320" w:lineRule="exact"/>
        <w:rPr>
          <w:rFonts w:ascii="Arial" w:hAnsi="Arial" w:cs="Arial"/>
        </w:rPr>
      </w:pPr>
      <w:r>
        <w:rPr>
          <w:rStyle w:val="Hyperlink"/>
          <w:rFonts w:ascii="Arial" w:hAnsi="Arial" w:cs="Arial"/>
        </w:rPr>
        <w:t>Marking staff guidance</w:t>
      </w:r>
    </w:p>
    <w:p w:rsidR="00F07361" w:rsidRPr="00F602D8" w:rsidRDefault="006C394B" w:rsidP="00AE273A">
      <w:pPr>
        <w:pStyle w:val="ListParagraph"/>
        <w:numPr>
          <w:ilvl w:val="0"/>
          <w:numId w:val="1"/>
        </w:numPr>
        <w:spacing w:before="120" w:after="120" w:line="320" w:lineRule="exact"/>
        <w:rPr>
          <w:rStyle w:val="Hyperlink"/>
          <w:rFonts w:ascii="Arial" w:hAnsi="Arial" w:cs="Arial"/>
          <w:color w:val="auto"/>
          <w:u w:val="none"/>
        </w:rPr>
      </w:pPr>
      <w:hyperlink w:anchor="_Reviewing_progress" w:history="1">
        <w:r w:rsidR="0034160E" w:rsidRPr="0034160E">
          <w:rPr>
            <w:rStyle w:val="Hyperlink"/>
            <w:rFonts w:ascii="Arial" w:hAnsi="Arial" w:cs="Arial"/>
          </w:rPr>
          <w:t>Reviewing progress</w:t>
        </w:r>
        <w:bookmarkStart w:id="2" w:name="d"/>
        <w:bookmarkEnd w:id="2"/>
      </w:hyperlink>
    </w:p>
    <w:p w:rsidR="00AD4155" w:rsidRPr="00DA4E5D" w:rsidRDefault="00AD4155" w:rsidP="00DA4E5D">
      <w:pPr>
        <w:spacing w:before="120" w:after="120" w:line="320" w:lineRule="exact"/>
        <w:rPr>
          <w:rFonts w:ascii="Arial" w:hAnsi="Arial" w:cs="Arial"/>
        </w:rPr>
      </w:pPr>
    </w:p>
    <w:p w:rsidR="00AD4155" w:rsidRDefault="00AD4155" w:rsidP="00C8446D">
      <w:pPr>
        <w:rPr>
          <w:rFonts w:ascii="Arial" w:hAnsi="Arial" w:cs="Arial"/>
          <w:sz w:val="32"/>
          <w:szCs w:val="32"/>
        </w:rPr>
      </w:pPr>
    </w:p>
    <w:p w:rsidR="008C2CD3" w:rsidRPr="00F47C76" w:rsidRDefault="008C2CD3">
      <w:pPr>
        <w:rPr>
          <w:rFonts w:ascii="Arial" w:hAnsi="Arial" w:cs="Arial"/>
          <w:sz w:val="32"/>
          <w:szCs w:val="32"/>
        </w:rPr>
      </w:pPr>
      <w:r w:rsidRPr="00F47C76">
        <w:rPr>
          <w:rFonts w:ascii="Arial" w:hAnsi="Arial" w:cs="Arial"/>
          <w:sz w:val="32"/>
          <w:szCs w:val="32"/>
        </w:rPr>
        <w:br w:type="page"/>
      </w:r>
    </w:p>
    <w:p w:rsidR="00207C5A" w:rsidRPr="00F47C76" w:rsidRDefault="0028407E" w:rsidP="00B656C3">
      <w:pPr>
        <w:pStyle w:val="Heading10"/>
        <w:numPr>
          <w:ilvl w:val="0"/>
          <w:numId w:val="0"/>
        </w:numPr>
        <w:rPr>
          <w:b/>
        </w:rPr>
      </w:pPr>
      <w:bookmarkStart w:id="3" w:name="_Statement_of_Intent"/>
      <w:bookmarkEnd w:id="3"/>
      <w:r w:rsidRPr="00F47C76">
        <w:rPr>
          <w:b/>
        </w:rPr>
        <w:lastRenderedPageBreak/>
        <w:t>Statement of intent</w:t>
      </w:r>
    </w:p>
    <w:p w:rsidR="001509F4" w:rsidRPr="00712138" w:rsidRDefault="00F3379A" w:rsidP="00712138">
      <w:pPr>
        <w:jc w:val="both"/>
        <w:rPr>
          <w:bCs/>
        </w:rPr>
      </w:pPr>
      <w:r>
        <w:rPr>
          <w:bCs/>
        </w:rPr>
        <w:t xml:space="preserve">Wath Church of England Primary School </w:t>
      </w:r>
      <w:r w:rsidR="00187874" w:rsidRPr="00F47C76">
        <w:rPr>
          <w:bCs/>
        </w:rPr>
        <w:t xml:space="preserve">understands that a comprehensive and clear marking and feedback policy is the key to helping pupils achieve their potential. This policy aims to give guidance to staff and provide a clear outline of the expectations in regards to marking and feedback. </w:t>
      </w:r>
      <w:r w:rsidR="00E0779B" w:rsidRPr="00F47C76">
        <w:rPr>
          <w:bCs/>
        </w:rPr>
        <w:t>Teachers</w:t>
      </w:r>
      <w:r w:rsidR="00B656C3">
        <w:rPr>
          <w:bCs/>
        </w:rPr>
        <w:t>, HLTAs and TAs</w:t>
      </w:r>
      <w:r w:rsidR="00E0779B" w:rsidRPr="00F47C76">
        <w:rPr>
          <w:bCs/>
        </w:rPr>
        <w:t xml:space="preserve"> at </w:t>
      </w:r>
      <w:r>
        <w:rPr>
          <w:bCs/>
        </w:rPr>
        <w:t xml:space="preserve">Wath CofE Primary School </w:t>
      </w:r>
      <w:r w:rsidR="00E0779B" w:rsidRPr="00F47C76">
        <w:rPr>
          <w:bCs/>
        </w:rPr>
        <w:t>ensure that all feedback and marking encourages pupils to take part in a dialogue that improves their performance</w:t>
      </w:r>
      <w:r w:rsidR="000B5097" w:rsidRPr="00F47C76">
        <w:rPr>
          <w:bCs/>
        </w:rPr>
        <w:t>.</w:t>
      </w:r>
    </w:p>
    <w:p w:rsidR="00855368" w:rsidRDefault="00855368" w:rsidP="00B21653">
      <w:pPr>
        <w:pStyle w:val="Heading10"/>
        <w:numPr>
          <w:ilvl w:val="0"/>
          <w:numId w:val="0"/>
        </w:numPr>
        <w:jc w:val="both"/>
        <w:rPr>
          <w:rFonts w:asciiTheme="minorHAnsi" w:hAnsiTheme="minorHAnsi" w:cstheme="minorBidi"/>
          <w:b/>
          <w:szCs w:val="28"/>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Start w:id="10" w:name="_Marking"/>
      <w:bookmarkEnd w:id="4"/>
      <w:bookmarkEnd w:id="5"/>
      <w:bookmarkEnd w:id="6"/>
      <w:bookmarkEnd w:id="7"/>
      <w:bookmarkEnd w:id="8"/>
      <w:bookmarkEnd w:id="9"/>
      <w:bookmarkEnd w:id="10"/>
    </w:p>
    <w:p w:rsidR="00674B0B" w:rsidRPr="00F47C76" w:rsidRDefault="00621613" w:rsidP="00855368">
      <w:pPr>
        <w:pStyle w:val="Heading10"/>
        <w:numPr>
          <w:ilvl w:val="0"/>
          <w:numId w:val="36"/>
        </w:numPr>
        <w:jc w:val="both"/>
        <w:rPr>
          <w:b/>
          <w:szCs w:val="28"/>
        </w:rPr>
      </w:pPr>
      <w:r w:rsidRPr="00F47C76">
        <w:rPr>
          <w:b/>
          <w:szCs w:val="28"/>
        </w:rPr>
        <w:t>Marking</w:t>
      </w:r>
      <w:r w:rsidR="00855368">
        <w:rPr>
          <w:b/>
          <w:szCs w:val="28"/>
        </w:rPr>
        <w:t xml:space="preserve"> and Feedback</w:t>
      </w:r>
    </w:p>
    <w:p w:rsidR="00625993" w:rsidRPr="00F47C76" w:rsidRDefault="00621613" w:rsidP="00B21653">
      <w:pPr>
        <w:pStyle w:val="TSB-Level1Numbers"/>
        <w:numPr>
          <w:ilvl w:val="1"/>
          <w:numId w:val="36"/>
        </w:numPr>
        <w:jc w:val="both"/>
      </w:pPr>
      <w:r w:rsidRPr="00F47C76">
        <w:t>Aims and objectives</w:t>
      </w:r>
      <w:r w:rsidR="00625993" w:rsidRPr="00F47C76">
        <w:t>:</w:t>
      </w:r>
    </w:p>
    <w:p w:rsidR="00621613" w:rsidRPr="00F47C76" w:rsidRDefault="00621613" w:rsidP="00B21653">
      <w:pPr>
        <w:ind w:left="720"/>
        <w:jc w:val="both"/>
      </w:pPr>
      <w:r w:rsidRPr="00F47C76">
        <w:t xml:space="preserve">All teachers </w:t>
      </w:r>
      <w:r w:rsidR="000B5097" w:rsidRPr="00F47C76">
        <w:t>will</w:t>
      </w:r>
      <w:r w:rsidRPr="00F47C76">
        <w:t xml:space="preserve"> keep in mind a core set of goals when marking</w:t>
      </w:r>
      <w:r w:rsidR="00C835D5">
        <w:t xml:space="preserve"> and feeding back</w:t>
      </w:r>
      <w:r w:rsidRPr="00F47C76">
        <w:t xml:space="preserve">. </w:t>
      </w:r>
      <w:r w:rsidR="000A621C" w:rsidRPr="00F47C76">
        <w:t>The best outcomes can be achieved b</w:t>
      </w:r>
      <w:r w:rsidRPr="00F47C76">
        <w:t xml:space="preserve">y </w:t>
      </w:r>
      <w:r w:rsidR="00E0297C" w:rsidRPr="00F47C76">
        <w:t>fo</w:t>
      </w:r>
      <w:r w:rsidR="000A621C" w:rsidRPr="00F47C76">
        <w:t>cussing on the</w:t>
      </w:r>
      <w:r w:rsidR="00E0297C" w:rsidRPr="00F47C76">
        <w:t xml:space="preserve"> </w:t>
      </w:r>
      <w:r w:rsidR="000A621C" w:rsidRPr="00F47C76">
        <w:t>following important points</w:t>
      </w:r>
      <w:r w:rsidR="001B4F2C" w:rsidRPr="00F47C76">
        <w:t>:</w:t>
      </w:r>
      <w:r w:rsidR="00BF7A69" w:rsidRPr="00F47C76">
        <w:t xml:space="preserve"> </w:t>
      </w:r>
    </w:p>
    <w:p w:rsidR="00E0297C" w:rsidRPr="00F47C76" w:rsidRDefault="00E0297C" w:rsidP="00B21653">
      <w:pPr>
        <w:pStyle w:val="ListParagraph"/>
        <w:numPr>
          <w:ilvl w:val="0"/>
          <w:numId w:val="23"/>
        </w:numPr>
        <w:jc w:val="both"/>
      </w:pPr>
      <w:r w:rsidRPr="00F47C76">
        <w:t>The individual pupil’s abilities and goals</w:t>
      </w:r>
    </w:p>
    <w:p w:rsidR="00E0297C" w:rsidRPr="00F47C76" w:rsidRDefault="00E0297C" w:rsidP="00B21653">
      <w:pPr>
        <w:pStyle w:val="ListParagraph"/>
        <w:numPr>
          <w:ilvl w:val="0"/>
          <w:numId w:val="23"/>
        </w:numPr>
        <w:jc w:val="both"/>
      </w:pPr>
      <w:r w:rsidRPr="00F47C76">
        <w:t>The areas a pupil can improve</w:t>
      </w:r>
    </w:p>
    <w:p w:rsidR="00E0297C" w:rsidRPr="00F47C76" w:rsidRDefault="00E0297C" w:rsidP="00B21653">
      <w:pPr>
        <w:pStyle w:val="ListParagraph"/>
        <w:numPr>
          <w:ilvl w:val="0"/>
          <w:numId w:val="23"/>
        </w:numPr>
        <w:jc w:val="both"/>
      </w:pPr>
      <w:r w:rsidRPr="00F47C76">
        <w:t>Giving clear guidelines for improvement</w:t>
      </w:r>
    </w:p>
    <w:p w:rsidR="00E0297C" w:rsidRPr="00F47C76" w:rsidRDefault="00E0297C" w:rsidP="00B21653">
      <w:pPr>
        <w:pStyle w:val="ListParagraph"/>
        <w:numPr>
          <w:ilvl w:val="0"/>
          <w:numId w:val="23"/>
        </w:numPr>
        <w:jc w:val="both"/>
      </w:pPr>
      <w:r w:rsidRPr="00F47C76">
        <w:t>Linking areas of improvement</w:t>
      </w:r>
    </w:p>
    <w:p w:rsidR="00E0297C" w:rsidRPr="00F47C76" w:rsidRDefault="00E0297C" w:rsidP="00B21653">
      <w:pPr>
        <w:pStyle w:val="ListParagraph"/>
        <w:numPr>
          <w:ilvl w:val="0"/>
          <w:numId w:val="23"/>
        </w:numPr>
        <w:jc w:val="both"/>
      </w:pPr>
      <w:r w:rsidRPr="00F47C76">
        <w:t>Reminding the pupil of previous success to boost confidence</w:t>
      </w:r>
    </w:p>
    <w:p w:rsidR="00E0297C" w:rsidRPr="00F47C76" w:rsidRDefault="00E0297C" w:rsidP="00B21653">
      <w:pPr>
        <w:pStyle w:val="ListParagraph"/>
        <w:numPr>
          <w:ilvl w:val="0"/>
          <w:numId w:val="23"/>
        </w:numPr>
        <w:jc w:val="both"/>
      </w:pPr>
      <w:r w:rsidRPr="00F47C76">
        <w:t>Providing effective communication between pupils and teachers</w:t>
      </w:r>
    </w:p>
    <w:p w:rsidR="00F50C59" w:rsidRPr="00F47C76" w:rsidRDefault="00F50C59" w:rsidP="00B21653">
      <w:pPr>
        <w:pStyle w:val="ListParagraph"/>
        <w:numPr>
          <w:ilvl w:val="0"/>
          <w:numId w:val="23"/>
        </w:numPr>
        <w:jc w:val="both"/>
      </w:pPr>
      <w:r w:rsidRPr="00F47C76">
        <w:t xml:space="preserve">Improving the </w:t>
      </w:r>
      <w:r w:rsidR="000F1DB1" w:rsidRPr="00F47C76">
        <w:t>self-belief</w:t>
      </w:r>
      <w:r w:rsidRPr="00F47C76">
        <w:t xml:space="preserve"> and confidence of pupils</w:t>
      </w:r>
    </w:p>
    <w:p w:rsidR="00F50C59" w:rsidRPr="00F47C76" w:rsidRDefault="00F50C59" w:rsidP="00B21653">
      <w:pPr>
        <w:pStyle w:val="ListParagraph"/>
        <w:numPr>
          <w:ilvl w:val="0"/>
          <w:numId w:val="23"/>
        </w:numPr>
        <w:jc w:val="both"/>
      </w:pPr>
      <w:r w:rsidRPr="00F47C76">
        <w:t>Celebrating success</w:t>
      </w:r>
    </w:p>
    <w:p w:rsidR="00625993" w:rsidRPr="00F47C76" w:rsidRDefault="0078021E" w:rsidP="00B21653">
      <w:pPr>
        <w:pStyle w:val="ListParagraph"/>
        <w:numPr>
          <w:ilvl w:val="0"/>
          <w:numId w:val="23"/>
        </w:numPr>
        <w:jc w:val="both"/>
      </w:pPr>
      <w:r w:rsidRPr="00F47C76">
        <w:t>Identifying pupils who require additional assistance</w:t>
      </w:r>
    </w:p>
    <w:p w:rsidR="00D059F6" w:rsidRPr="00F47C76" w:rsidRDefault="00D059F6" w:rsidP="00B21653">
      <w:pPr>
        <w:pStyle w:val="ListParagraph"/>
        <w:numPr>
          <w:ilvl w:val="0"/>
          <w:numId w:val="23"/>
        </w:numPr>
        <w:jc w:val="both"/>
      </w:pPr>
      <w:r w:rsidRPr="00F47C76">
        <w:t>Clarity and consistency of marking across the school</w:t>
      </w:r>
    </w:p>
    <w:p w:rsidR="00D90788" w:rsidRPr="00F47C76" w:rsidRDefault="00D90788" w:rsidP="00B21653">
      <w:pPr>
        <w:pStyle w:val="ListParagraph"/>
        <w:numPr>
          <w:ilvl w:val="0"/>
          <w:numId w:val="23"/>
        </w:numPr>
        <w:jc w:val="both"/>
      </w:pPr>
      <w:r w:rsidRPr="00F47C76">
        <w:t>The individual pupil</w:t>
      </w:r>
      <w:r w:rsidR="000A621C" w:rsidRPr="00F47C76">
        <w:t>’</w:t>
      </w:r>
      <w:r w:rsidRPr="00F47C76">
        <w:t>s level of understanding</w:t>
      </w:r>
    </w:p>
    <w:p w:rsidR="00C26E29" w:rsidRPr="00F47C76" w:rsidRDefault="00C26E29" w:rsidP="00B21653">
      <w:pPr>
        <w:pStyle w:val="ListParagraph"/>
        <w:numPr>
          <w:ilvl w:val="0"/>
          <w:numId w:val="23"/>
        </w:numPr>
        <w:jc w:val="both"/>
      </w:pPr>
      <w:r w:rsidRPr="00F47C76">
        <w:t>Avoid</w:t>
      </w:r>
      <w:r w:rsidR="00D80A72" w:rsidRPr="00F47C76">
        <w:t>ing</w:t>
      </w:r>
      <w:r w:rsidRPr="00F47C76">
        <w:t xml:space="preserve"> </w:t>
      </w:r>
      <w:r w:rsidR="00D80A72" w:rsidRPr="00F47C76">
        <w:t>giving grades</w:t>
      </w:r>
      <w:r w:rsidRPr="00F47C76">
        <w:t xml:space="preserve"> </w:t>
      </w:r>
      <w:r w:rsidR="00D80A72" w:rsidRPr="00F47C76">
        <w:t xml:space="preserve">for </w:t>
      </w:r>
      <w:r w:rsidR="000A621C" w:rsidRPr="00F47C76">
        <w:t>every piece of work</w:t>
      </w:r>
    </w:p>
    <w:p w:rsidR="00625993" w:rsidRPr="00F47C76" w:rsidRDefault="00DF7766" w:rsidP="00B21653">
      <w:pPr>
        <w:pStyle w:val="TSB-Level1Numbers"/>
        <w:numPr>
          <w:ilvl w:val="1"/>
          <w:numId w:val="36"/>
        </w:numPr>
        <w:jc w:val="both"/>
      </w:pPr>
      <w:r>
        <w:t>M</w:t>
      </w:r>
      <w:r w:rsidR="00625993" w:rsidRPr="00F47C76">
        <w:t>arking</w:t>
      </w:r>
      <w:r w:rsidR="00855368">
        <w:t xml:space="preserve"> and feedback</w:t>
      </w:r>
    </w:p>
    <w:p w:rsidR="00855368" w:rsidRPr="00855368" w:rsidRDefault="00B656C3" w:rsidP="00855368">
      <w:pPr>
        <w:widowControl w:val="0"/>
        <w:rPr>
          <w:rFonts w:cstheme="minorHAnsi"/>
        </w:rPr>
      </w:pPr>
      <w:r>
        <w:rPr>
          <w:rFonts w:cstheme="minorHAnsi"/>
        </w:rPr>
        <w:t>Teachers,</w:t>
      </w:r>
      <w:r w:rsidR="00DF7766" w:rsidRPr="00855368">
        <w:rPr>
          <w:rFonts w:cstheme="minorHAnsi"/>
        </w:rPr>
        <w:t xml:space="preserve"> HLTAs</w:t>
      </w:r>
      <w:r>
        <w:rPr>
          <w:rFonts w:cstheme="minorHAnsi"/>
        </w:rPr>
        <w:t xml:space="preserve"> and TAs</w:t>
      </w:r>
      <w:r w:rsidR="00DF7766" w:rsidRPr="00855368">
        <w:rPr>
          <w:rFonts w:cstheme="minorHAnsi"/>
        </w:rPr>
        <w:t xml:space="preserve"> will mark all learning in relation to the success criteria.</w:t>
      </w:r>
      <w:r w:rsidR="00855368" w:rsidRPr="00855368">
        <w:rPr>
          <w:rFonts w:cstheme="minorHAnsi"/>
        </w:rPr>
        <w:t xml:space="preserve"> Each child will respond to one next step each week in English and maths. This can be as written feedback but more often will verbal feedback. Guided reading pupil books in KS2 are marked. In the foundation subjects, learning is marked to the success criteria. Spellings are identified to correct in some English and foundation subjects lessons. </w:t>
      </w:r>
    </w:p>
    <w:p w:rsidR="002E0B9D" w:rsidRPr="00F47C76" w:rsidRDefault="00DF7766" w:rsidP="00B21653">
      <w:pPr>
        <w:ind w:left="720"/>
        <w:jc w:val="both"/>
      </w:pPr>
      <w:r>
        <w:t xml:space="preserve">When marking, </w:t>
      </w:r>
      <w:r w:rsidR="002E0B9D" w:rsidRPr="00F47C76">
        <w:t xml:space="preserve">there are a number of </w:t>
      </w:r>
      <w:r w:rsidR="001B4F2C" w:rsidRPr="00F47C76">
        <w:t>questions teachers will keep in mind</w:t>
      </w:r>
      <w:r w:rsidR="00EA16E3" w:rsidRPr="00F47C76">
        <w:t>:</w:t>
      </w:r>
    </w:p>
    <w:p w:rsidR="00DF7766" w:rsidRDefault="00DF7766" w:rsidP="00B21653">
      <w:pPr>
        <w:pStyle w:val="ListParagraph"/>
        <w:numPr>
          <w:ilvl w:val="0"/>
          <w:numId w:val="24"/>
        </w:numPr>
        <w:jc w:val="both"/>
      </w:pPr>
      <w:r>
        <w:t>Have the children achieved the success criteria?</w:t>
      </w:r>
    </w:p>
    <w:p w:rsidR="00DF7766" w:rsidRDefault="00DF7766" w:rsidP="00B21653">
      <w:pPr>
        <w:pStyle w:val="ListParagraph"/>
        <w:numPr>
          <w:ilvl w:val="0"/>
          <w:numId w:val="24"/>
        </w:numPr>
        <w:jc w:val="both"/>
      </w:pPr>
      <w:r>
        <w:t>Does feedback support those children who have not achieved all of the success criteria as well those pupils who need deeper feedback to challenge there thinking?</w:t>
      </w:r>
    </w:p>
    <w:p w:rsidR="00625993" w:rsidRPr="00F47C76" w:rsidRDefault="00616F0B" w:rsidP="00B21653">
      <w:pPr>
        <w:pStyle w:val="ListParagraph"/>
        <w:numPr>
          <w:ilvl w:val="0"/>
          <w:numId w:val="24"/>
        </w:numPr>
        <w:jc w:val="both"/>
      </w:pPr>
      <w:r w:rsidRPr="00F47C76">
        <w:t>Are the</w:t>
      </w:r>
      <w:r w:rsidR="00855368">
        <w:t xml:space="preserve"> verbal or written</w:t>
      </w:r>
      <w:r w:rsidRPr="00F47C76">
        <w:t xml:space="preserve"> comments</w:t>
      </w:r>
      <w:r w:rsidR="002E0B9D" w:rsidRPr="00F47C76">
        <w:t xml:space="preserve"> easy for the pupils to understand</w:t>
      </w:r>
      <w:r w:rsidR="00EA16E3" w:rsidRPr="00F47C76">
        <w:t>?</w:t>
      </w:r>
    </w:p>
    <w:p w:rsidR="002E0B9D" w:rsidRPr="00F47C76" w:rsidRDefault="002E0B9D" w:rsidP="00B21653">
      <w:pPr>
        <w:pStyle w:val="TSB-Level1Numbers"/>
        <w:numPr>
          <w:ilvl w:val="1"/>
          <w:numId w:val="36"/>
        </w:numPr>
        <w:jc w:val="both"/>
      </w:pPr>
      <w:r w:rsidRPr="00F47C76">
        <w:t>Pupil reflection time</w:t>
      </w:r>
    </w:p>
    <w:p w:rsidR="00DF7766" w:rsidRDefault="002E0B9D" w:rsidP="00855368">
      <w:pPr>
        <w:ind w:left="720"/>
        <w:jc w:val="both"/>
      </w:pPr>
      <w:r w:rsidRPr="00F47C76">
        <w:t xml:space="preserve">When marked work is given back to the </w:t>
      </w:r>
      <w:r w:rsidR="00D80A72" w:rsidRPr="00F47C76">
        <w:t>pupil</w:t>
      </w:r>
      <w:r w:rsidR="00616F0B" w:rsidRPr="00F47C76">
        <w:t>s</w:t>
      </w:r>
      <w:r w:rsidR="004F00FC" w:rsidRPr="00F47C76">
        <w:t>,</w:t>
      </w:r>
      <w:r w:rsidRPr="00F47C76">
        <w:t xml:space="preserve"> teachers </w:t>
      </w:r>
      <w:r w:rsidR="001B4F2C" w:rsidRPr="00F47C76">
        <w:t>will</w:t>
      </w:r>
      <w:r w:rsidRPr="00F47C76">
        <w:t xml:space="preserve"> al</w:t>
      </w:r>
      <w:r w:rsidR="00616F0B" w:rsidRPr="00F47C76">
        <w:t xml:space="preserve">locate some time for them to </w:t>
      </w:r>
      <w:r w:rsidR="00C835D5">
        <w:t xml:space="preserve">understand verbal feedback or </w:t>
      </w:r>
      <w:r w:rsidR="00616F0B" w:rsidRPr="00F47C76">
        <w:t xml:space="preserve">read the comments </w:t>
      </w:r>
      <w:r w:rsidRPr="00F47C76">
        <w:t xml:space="preserve">and reflect on how they </w:t>
      </w:r>
      <w:r w:rsidRPr="00F47C76">
        <w:lastRenderedPageBreak/>
        <w:t xml:space="preserve">can improve. </w:t>
      </w:r>
      <w:r w:rsidR="00855368">
        <w:t xml:space="preserve">To maximise the meaningfulness of the feedback and its impact, this will usually be straight away. </w:t>
      </w:r>
    </w:p>
    <w:p w:rsidR="00855368" w:rsidRPr="00F47C76" w:rsidRDefault="00855368" w:rsidP="00855368">
      <w:pPr>
        <w:jc w:val="both"/>
      </w:pPr>
    </w:p>
    <w:p w:rsidR="00746DAC" w:rsidRPr="00F47C76" w:rsidRDefault="00564BEE" w:rsidP="00B21653">
      <w:pPr>
        <w:pStyle w:val="TSB-Level1Numbers"/>
        <w:numPr>
          <w:ilvl w:val="1"/>
          <w:numId w:val="36"/>
        </w:numPr>
        <w:jc w:val="both"/>
      </w:pPr>
      <w:r w:rsidRPr="00F47C76">
        <w:t>Rewarding good work</w:t>
      </w:r>
    </w:p>
    <w:p w:rsidR="000A621C" w:rsidRPr="00F47C76" w:rsidRDefault="00564BEE" w:rsidP="00B21653">
      <w:pPr>
        <w:ind w:left="720"/>
        <w:jc w:val="both"/>
      </w:pPr>
      <w:r w:rsidRPr="00F47C76">
        <w:t xml:space="preserve">Positive reinforcement is a valuable and effective way for </w:t>
      </w:r>
      <w:r w:rsidR="00D80A72" w:rsidRPr="00F47C76">
        <w:t>pupils to understand how</w:t>
      </w:r>
      <w:r w:rsidRPr="00F47C76">
        <w:t xml:space="preserve"> they are improving. By </w:t>
      </w:r>
      <w:r w:rsidR="00EA16E3" w:rsidRPr="00F47C76">
        <w:t>pointing out that a pupil is performing well it</w:t>
      </w:r>
      <w:r w:rsidRPr="00F47C76">
        <w:t xml:space="preserve"> encourage</w:t>
      </w:r>
      <w:r w:rsidR="00EA16E3" w:rsidRPr="00F47C76">
        <w:t>s</w:t>
      </w:r>
      <w:r w:rsidRPr="00F47C76">
        <w:t xml:space="preserve"> them to improve their performance over time. </w:t>
      </w:r>
    </w:p>
    <w:p w:rsidR="000A621C" w:rsidRDefault="00855368" w:rsidP="00855368">
      <w:pPr>
        <w:tabs>
          <w:tab w:val="left" w:pos="2400"/>
        </w:tabs>
        <w:ind w:left="720"/>
        <w:jc w:val="both"/>
      </w:pPr>
      <w:r>
        <w:tab/>
      </w:r>
    </w:p>
    <w:p w:rsidR="00855368" w:rsidRPr="00F47C76" w:rsidRDefault="00855368" w:rsidP="00855368">
      <w:pPr>
        <w:tabs>
          <w:tab w:val="left" w:pos="2400"/>
        </w:tabs>
        <w:ind w:left="720"/>
        <w:jc w:val="both"/>
      </w:pPr>
    </w:p>
    <w:p w:rsidR="00564BEE" w:rsidRPr="00F47C76" w:rsidRDefault="00182DA5" w:rsidP="00B21653">
      <w:pPr>
        <w:ind w:left="720"/>
        <w:jc w:val="both"/>
      </w:pPr>
      <w:r w:rsidRPr="00F47C76">
        <w:t xml:space="preserve">Rewards </w:t>
      </w:r>
      <w:r w:rsidR="00936B60" w:rsidRPr="00F47C76">
        <w:t>will</w:t>
      </w:r>
      <w:r w:rsidRPr="00F47C76">
        <w:t xml:space="preserve"> be given in a number of ways</w:t>
      </w:r>
      <w:r w:rsidR="000A621C" w:rsidRPr="00F47C76">
        <w:t>,</w:t>
      </w:r>
      <w:r w:rsidRPr="00F47C76">
        <w:t xml:space="preserve"> such as:</w:t>
      </w:r>
    </w:p>
    <w:p w:rsidR="00F3379A" w:rsidRDefault="00182DA5" w:rsidP="00B21653">
      <w:pPr>
        <w:pStyle w:val="ListParagraph"/>
        <w:numPr>
          <w:ilvl w:val="0"/>
          <w:numId w:val="25"/>
        </w:numPr>
        <w:jc w:val="both"/>
      </w:pPr>
      <w:r w:rsidRPr="00F47C76">
        <w:t>Praise</w:t>
      </w:r>
    </w:p>
    <w:p w:rsidR="00F3379A" w:rsidRDefault="00F3379A" w:rsidP="00B21653">
      <w:pPr>
        <w:pStyle w:val="ListParagraph"/>
        <w:numPr>
          <w:ilvl w:val="0"/>
          <w:numId w:val="25"/>
        </w:numPr>
        <w:jc w:val="both"/>
      </w:pPr>
      <w:r>
        <w:t>Dojo points</w:t>
      </w:r>
      <w:r w:rsidR="00182DA5" w:rsidRPr="00F47C76">
        <w:t xml:space="preserve"> </w:t>
      </w:r>
    </w:p>
    <w:p w:rsidR="00182DA5" w:rsidRPr="00F47C76" w:rsidRDefault="00182DA5" w:rsidP="00B21653">
      <w:pPr>
        <w:pStyle w:val="ListParagraph"/>
        <w:numPr>
          <w:ilvl w:val="0"/>
          <w:numId w:val="25"/>
        </w:numPr>
        <w:jc w:val="both"/>
      </w:pPr>
      <w:r w:rsidRPr="00F47C76">
        <w:t>Displaying excellent work in the classroom</w:t>
      </w:r>
      <w:r w:rsidR="00855368">
        <w:t>, corridor</w:t>
      </w:r>
      <w:r w:rsidR="00B656C3">
        <w:t xml:space="preserve"> or</w:t>
      </w:r>
      <w:r w:rsidR="00855368">
        <w:t xml:space="preserve"> on the Exhibition of Excellence</w:t>
      </w:r>
    </w:p>
    <w:p w:rsidR="00F3379A" w:rsidRDefault="00F602D8" w:rsidP="00F3379A">
      <w:pPr>
        <w:pStyle w:val="ListParagraph"/>
        <w:numPr>
          <w:ilvl w:val="0"/>
          <w:numId w:val="25"/>
        </w:numPr>
        <w:jc w:val="both"/>
      </w:pPr>
      <w:r>
        <w:t>Communication with</w:t>
      </w:r>
      <w:r w:rsidR="00413A12" w:rsidRPr="00F47C76">
        <w:t xml:space="preserve"> parents</w:t>
      </w:r>
    </w:p>
    <w:p w:rsidR="00F3379A" w:rsidRDefault="00F3379A" w:rsidP="00F3379A">
      <w:pPr>
        <w:pStyle w:val="ListParagraph"/>
        <w:ind w:left="1440"/>
        <w:jc w:val="both"/>
      </w:pPr>
    </w:p>
    <w:p w:rsidR="00413A12" w:rsidRPr="00F47C76" w:rsidRDefault="00F3379A" w:rsidP="00F3379A">
      <w:pPr>
        <w:pStyle w:val="ListParagraph"/>
        <w:numPr>
          <w:ilvl w:val="1"/>
          <w:numId w:val="40"/>
        </w:numPr>
        <w:jc w:val="both"/>
      </w:pPr>
      <w:r>
        <w:t>Maths</w:t>
      </w:r>
      <w:r w:rsidR="00FB3C12" w:rsidRPr="00F47C76">
        <w:t xml:space="preserve"> marking</w:t>
      </w:r>
      <w:r w:rsidR="00855368">
        <w:t xml:space="preserve"> and feedback</w:t>
      </w:r>
    </w:p>
    <w:p w:rsidR="00FB3C12" w:rsidRPr="00F47C76" w:rsidRDefault="00FB3C12" w:rsidP="00B21653">
      <w:pPr>
        <w:pStyle w:val="Heading10"/>
        <w:numPr>
          <w:ilvl w:val="0"/>
          <w:numId w:val="0"/>
        </w:numPr>
        <w:ind w:left="720"/>
        <w:jc w:val="both"/>
        <w:rPr>
          <w:sz w:val="22"/>
          <w:szCs w:val="22"/>
        </w:rPr>
      </w:pPr>
      <w:r w:rsidRPr="00F47C76">
        <w:rPr>
          <w:sz w:val="22"/>
          <w:szCs w:val="22"/>
        </w:rPr>
        <w:t>Marking in numeracy and maths present</w:t>
      </w:r>
      <w:r w:rsidR="008410B7" w:rsidRPr="00F47C76">
        <w:rPr>
          <w:sz w:val="22"/>
          <w:szCs w:val="22"/>
        </w:rPr>
        <w:t>s</w:t>
      </w:r>
      <w:r w:rsidRPr="00F47C76">
        <w:rPr>
          <w:sz w:val="22"/>
          <w:szCs w:val="22"/>
        </w:rPr>
        <w:t xml:space="preserve"> a particular challenge that teachers </w:t>
      </w:r>
      <w:r w:rsidR="00936B60" w:rsidRPr="00F47C76">
        <w:rPr>
          <w:sz w:val="22"/>
          <w:szCs w:val="22"/>
        </w:rPr>
        <w:t>will</w:t>
      </w:r>
      <w:r w:rsidRPr="00F47C76">
        <w:rPr>
          <w:sz w:val="22"/>
          <w:szCs w:val="22"/>
        </w:rPr>
        <w:t xml:space="preserve"> consider. Because answers are either correct or incorrect</w:t>
      </w:r>
      <w:r w:rsidR="008410B7" w:rsidRPr="00F47C76">
        <w:rPr>
          <w:sz w:val="22"/>
          <w:szCs w:val="22"/>
        </w:rPr>
        <w:t>,</w:t>
      </w:r>
      <w:r w:rsidRPr="00F47C76">
        <w:rPr>
          <w:sz w:val="22"/>
          <w:szCs w:val="22"/>
        </w:rPr>
        <w:t xml:space="preserve"> pupils who have difficulties in this subject can become disinterested if they fail to improve. Some effective strategies</w:t>
      </w:r>
      <w:r w:rsidR="004375F2" w:rsidRPr="00F47C76">
        <w:rPr>
          <w:sz w:val="22"/>
          <w:szCs w:val="22"/>
        </w:rPr>
        <w:t xml:space="preserve"> </w:t>
      </w:r>
      <w:r w:rsidR="001B4F2C" w:rsidRPr="00F47C76">
        <w:rPr>
          <w:sz w:val="22"/>
          <w:szCs w:val="22"/>
        </w:rPr>
        <w:t>employed</w:t>
      </w:r>
      <w:r w:rsidR="004375F2" w:rsidRPr="00F47C76">
        <w:rPr>
          <w:sz w:val="22"/>
          <w:szCs w:val="22"/>
        </w:rPr>
        <w:t xml:space="preserve"> by </w:t>
      </w:r>
      <w:r w:rsidR="00F3379A">
        <w:rPr>
          <w:sz w:val="22"/>
          <w:szCs w:val="22"/>
        </w:rPr>
        <w:t xml:space="preserve">Wath CofE Primary School </w:t>
      </w:r>
      <w:r w:rsidR="004375F2" w:rsidRPr="00F47C76">
        <w:rPr>
          <w:sz w:val="22"/>
          <w:szCs w:val="22"/>
        </w:rPr>
        <w:t>include</w:t>
      </w:r>
      <w:r w:rsidRPr="00F47C76">
        <w:rPr>
          <w:sz w:val="22"/>
          <w:szCs w:val="22"/>
        </w:rPr>
        <w:t>:</w:t>
      </w:r>
    </w:p>
    <w:p w:rsidR="00FB3C12" w:rsidRPr="00F47C76" w:rsidRDefault="00FB3C12" w:rsidP="00B21653">
      <w:pPr>
        <w:pStyle w:val="ListParagraph"/>
        <w:numPr>
          <w:ilvl w:val="0"/>
          <w:numId w:val="26"/>
        </w:numPr>
        <w:jc w:val="both"/>
      </w:pPr>
      <w:r w:rsidRPr="00F47C76">
        <w:t>Tick</w:t>
      </w:r>
      <w:r w:rsidR="008410B7" w:rsidRPr="00F47C76">
        <w:t>ing</w:t>
      </w:r>
      <w:r w:rsidRPr="00F47C76">
        <w:t xml:space="preserve"> correct answers</w:t>
      </w:r>
      <w:r w:rsidR="008410B7" w:rsidRPr="00F47C76">
        <w:t xml:space="preserve"> and leaving</w:t>
      </w:r>
      <w:r w:rsidR="00746079" w:rsidRPr="00F47C76">
        <w:t xml:space="preserve"> a dot on incorrect answers</w:t>
      </w:r>
      <w:r w:rsidRPr="00F47C76">
        <w:t xml:space="preserve"> </w:t>
      </w:r>
    </w:p>
    <w:p w:rsidR="00FB3C12" w:rsidRDefault="001B4F2C" w:rsidP="00B21653">
      <w:pPr>
        <w:pStyle w:val="ListParagraph"/>
        <w:numPr>
          <w:ilvl w:val="0"/>
          <w:numId w:val="26"/>
        </w:numPr>
        <w:jc w:val="both"/>
      </w:pPr>
      <w:r w:rsidRPr="00F47C76">
        <w:t>When</w:t>
      </w:r>
      <w:r w:rsidR="00FB3C12" w:rsidRPr="00F47C76">
        <w:t xml:space="preserve"> possible</w:t>
      </w:r>
      <w:r w:rsidR="008410B7" w:rsidRPr="00F47C76">
        <w:t>, providing</w:t>
      </w:r>
      <w:r w:rsidR="00746079" w:rsidRPr="00F47C76">
        <w:t xml:space="preserve"> immediate feedback to</w:t>
      </w:r>
      <w:r w:rsidR="00FB3C12" w:rsidRPr="00F47C76">
        <w:t xml:space="preserve"> pupils to show them </w:t>
      </w:r>
      <w:r w:rsidR="004375F2" w:rsidRPr="00F47C76">
        <w:t xml:space="preserve">how </w:t>
      </w:r>
      <w:r w:rsidR="00F602D8">
        <w:t>be successful with the success criteria</w:t>
      </w:r>
    </w:p>
    <w:p w:rsidR="00F602D8" w:rsidRDefault="00F602D8" w:rsidP="00F602D8">
      <w:pPr>
        <w:pStyle w:val="ListParagraph"/>
        <w:numPr>
          <w:ilvl w:val="0"/>
          <w:numId w:val="26"/>
        </w:numPr>
        <w:jc w:val="both"/>
      </w:pPr>
      <w:r>
        <w:t>This may be in the form of same lesson or same day intervention</w:t>
      </w:r>
    </w:p>
    <w:p w:rsidR="00D90788" w:rsidRPr="00F47C76" w:rsidRDefault="00F3379A" w:rsidP="00B21653">
      <w:pPr>
        <w:pStyle w:val="TSB-Level1Numbers"/>
        <w:numPr>
          <w:ilvl w:val="1"/>
          <w:numId w:val="36"/>
        </w:numPr>
        <w:jc w:val="both"/>
      </w:pPr>
      <w:r>
        <w:t>English</w:t>
      </w:r>
      <w:r w:rsidR="00D90788" w:rsidRPr="00F47C76">
        <w:t xml:space="preserve"> </w:t>
      </w:r>
      <w:r w:rsidR="00D56D4C" w:rsidRPr="00F47C76">
        <w:t>m</w:t>
      </w:r>
      <w:r w:rsidR="00D90788" w:rsidRPr="00F47C76">
        <w:t>arking</w:t>
      </w:r>
      <w:r w:rsidR="00855368">
        <w:t xml:space="preserve"> and feedback</w:t>
      </w:r>
    </w:p>
    <w:p w:rsidR="00D90788" w:rsidRPr="00F47C76" w:rsidRDefault="00D90788" w:rsidP="00B21653">
      <w:pPr>
        <w:ind w:left="720"/>
        <w:jc w:val="both"/>
      </w:pPr>
      <w:r w:rsidRPr="00F47C76">
        <w:t>There are a number of ways in which literacy marking differs from other subject areas. When marking pupils</w:t>
      </w:r>
      <w:r w:rsidR="00D56D4C" w:rsidRPr="00F47C76">
        <w:t>’</w:t>
      </w:r>
      <w:r w:rsidRPr="00F47C76">
        <w:t xml:space="preserve"> work</w:t>
      </w:r>
      <w:r w:rsidR="00746079" w:rsidRPr="00F47C76">
        <w:t>,</w:t>
      </w:r>
      <w:r w:rsidRPr="00F47C76">
        <w:t xml:space="preserve"> teachers </w:t>
      </w:r>
      <w:r w:rsidR="001B4F2C" w:rsidRPr="00F47C76">
        <w:t>will</w:t>
      </w:r>
      <w:r w:rsidRPr="00F47C76">
        <w:t>:</w:t>
      </w:r>
    </w:p>
    <w:p w:rsidR="00746079" w:rsidRPr="00F47C76" w:rsidRDefault="00D90788" w:rsidP="00B21653">
      <w:pPr>
        <w:pStyle w:val="ListParagraph"/>
        <w:numPr>
          <w:ilvl w:val="0"/>
          <w:numId w:val="27"/>
        </w:numPr>
        <w:jc w:val="both"/>
      </w:pPr>
      <w:r w:rsidRPr="00F47C76">
        <w:t xml:space="preserve">Give feedback on whether the </w:t>
      </w:r>
      <w:r w:rsidR="00A7514E">
        <w:t>success criteria has been achieved.</w:t>
      </w:r>
    </w:p>
    <w:p w:rsidR="00D90788" w:rsidRPr="00F47C76" w:rsidRDefault="00D90788" w:rsidP="00B21653">
      <w:pPr>
        <w:pStyle w:val="ListParagraph"/>
        <w:numPr>
          <w:ilvl w:val="0"/>
          <w:numId w:val="27"/>
        </w:numPr>
        <w:jc w:val="both"/>
      </w:pPr>
      <w:r w:rsidRPr="00F47C76">
        <w:t>Explain how the work can be improved by mak</w:t>
      </w:r>
      <w:r w:rsidR="00D80A72" w:rsidRPr="00F47C76">
        <w:t>ing sure</w:t>
      </w:r>
      <w:r w:rsidR="00417756" w:rsidRPr="00F47C76">
        <w:t xml:space="preserve"> the advice is age</w:t>
      </w:r>
      <w:r w:rsidRPr="00F47C76">
        <w:t xml:space="preserve"> appropriate and linked to the objectives of the year group. </w:t>
      </w:r>
    </w:p>
    <w:p w:rsidR="00D90788" w:rsidRPr="00F47C76" w:rsidRDefault="00D90788" w:rsidP="00B21653">
      <w:pPr>
        <w:pStyle w:val="ListParagraph"/>
        <w:numPr>
          <w:ilvl w:val="0"/>
          <w:numId w:val="27"/>
        </w:numPr>
        <w:jc w:val="both"/>
      </w:pPr>
      <w:r w:rsidRPr="00F47C76">
        <w:t xml:space="preserve">Correct spellings, particularly those appropriate for the year group. </w:t>
      </w:r>
    </w:p>
    <w:p w:rsidR="00D90788" w:rsidRPr="00F47C76" w:rsidRDefault="00D90788" w:rsidP="00B21653">
      <w:pPr>
        <w:pStyle w:val="ListParagraph"/>
        <w:numPr>
          <w:ilvl w:val="0"/>
          <w:numId w:val="27"/>
        </w:numPr>
        <w:jc w:val="both"/>
      </w:pPr>
      <w:r w:rsidRPr="00F47C76">
        <w:t>Correct punctuation and grammatical errors appropriate to the objectives for the year group.</w:t>
      </w:r>
    </w:p>
    <w:p w:rsidR="00D90788" w:rsidRPr="00F47C76" w:rsidRDefault="00D90788" w:rsidP="00B21653">
      <w:pPr>
        <w:pStyle w:val="ListParagraph"/>
        <w:numPr>
          <w:ilvl w:val="0"/>
          <w:numId w:val="27"/>
        </w:numPr>
        <w:jc w:val="both"/>
      </w:pPr>
      <w:r w:rsidRPr="00F47C76">
        <w:t>Allow specific time for pupils to read, reflect</w:t>
      </w:r>
      <w:r w:rsidR="00746079" w:rsidRPr="00F47C76">
        <w:t>,</w:t>
      </w:r>
      <w:r w:rsidRPr="00F47C76">
        <w:t xml:space="preserve"> and respond to marking.</w:t>
      </w:r>
    </w:p>
    <w:p w:rsidR="00576629" w:rsidRPr="00F47C76" w:rsidRDefault="00746079" w:rsidP="00B21653">
      <w:pPr>
        <w:pStyle w:val="TSB-Level1Numbers"/>
        <w:numPr>
          <w:ilvl w:val="1"/>
          <w:numId w:val="36"/>
        </w:numPr>
        <w:jc w:val="both"/>
      </w:pPr>
      <w:r w:rsidRPr="00F47C76">
        <w:t>Peer-to-</w:t>
      </w:r>
      <w:r w:rsidR="00576629" w:rsidRPr="00F47C76">
        <w:t>peer feedback</w:t>
      </w:r>
    </w:p>
    <w:p w:rsidR="00A7514E" w:rsidRDefault="00576629" w:rsidP="00B21653">
      <w:pPr>
        <w:ind w:left="720"/>
        <w:jc w:val="both"/>
      </w:pPr>
      <w:r w:rsidRPr="00F47C76">
        <w:lastRenderedPageBreak/>
        <w:t>By involving students in reviewing each other</w:t>
      </w:r>
      <w:r w:rsidR="00746079" w:rsidRPr="00F47C76">
        <w:t>’s</w:t>
      </w:r>
      <w:r w:rsidRPr="00F47C76">
        <w:t xml:space="preserve"> work</w:t>
      </w:r>
      <w:r w:rsidR="00746079" w:rsidRPr="00F47C76">
        <w:t>, teachers will help</w:t>
      </w:r>
      <w:r w:rsidRPr="00F47C76">
        <w:t xml:space="preserve"> pupils to identify successful methods of learning. This </w:t>
      </w:r>
      <w:r w:rsidR="00016941" w:rsidRPr="00F47C76">
        <w:t>will</w:t>
      </w:r>
      <w:r w:rsidRPr="00F47C76">
        <w:t xml:space="preserve"> always be done at the teacher’s discretion and only with pupils who are able to learn from the process</w:t>
      </w:r>
      <w:r w:rsidR="00746079" w:rsidRPr="00F47C76">
        <w:t xml:space="preserve">. </w:t>
      </w:r>
      <w:r w:rsidR="00A7514E">
        <w:t xml:space="preserve">This could take the form of general peer assessment or peer critique. </w:t>
      </w:r>
    </w:p>
    <w:p w:rsidR="00A7514E" w:rsidRDefault="00A7514E" w:rsidP="00B21653">
      <w:pPr>
        <w:ind w:left="720"/>
        <w:jc w:val="both"/>
      </w:pPr>
    </w:p>
    <w:p w:rsidR="00674B0B" w:rsidRPr="00F47C76" w:rsidRDefault="00674B0B" w:rsidP="00B21653">
      <w:pPr>
        <w:pStyle w:val="ListParagraph"/>
        <w:numPr>
          <w:ilvl w:val="0"/>
          <w:numId w:val="39"/>
        </w:numPr>
        <w:contextualSpacing w:val="0"/>
        <w:jc w:val="both"/>
        <w:outlineLvl w:val="0"/>
        <w:rPr>
          <w:rFonts w:asciiTheme="majorHAnsi" w:hAnsiTheme="majorHAnsi" w:cstheme="minorHAnsi"/>
          <w:vanish/>
          <w:szCs w:val="32"/>
        </w:rPr>
      </w:pPr>
    </w:p>
    <w:p w:rsidR="00674B0B" w:rsidRPr="00F47C76" w:rsidRDefault="00674B0B" w:rsidP="00B21653">
      <w:pPr>
        <w:pStyle w:val="ListParagraph"/>
        <w:numPr>
          <w:ilvl w:val="0"/>
          <w:numId w:val="39"/>
        </w:numPr>
        <w:contextualSpacing w:val="0"/>
        <w:jc w:val="both"/>
        <w:outlineLvl w:val="0"/>
        <w:rPr>
          <w:rFonts w:asciiTheme="majorHAnsi" w:hAnsiTheme="majorHAnsi" w:cstheme="minorHAnsi"/>
          <w:vanish/>
          <w:szCs w:val="32"/>
        </w:rPr>
      </w:pPr>
    </w:p>
    <w:p w:rsidR="00F602D8" w:rsidRDefault="00F602D8" w:rsidP="00F602D8">
      <w:pPr>
        <w:jc w:val="both"/>
      </w:pPr>
    </w:p>
    <w:p w:rsidR="00F602D8" w:rsidRDefault="00F602D8" w:rsidP="00F602D8">
      <w:pPr>
        <w:jc w:val="both"/>
      </w:pPr>
    </w:p>
    <w:p w:rsidR="00F602D8" w:rsidRDefault="00F602D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712138" w:rsidRDefault="00712138" w:rsidP="00F602D8">
      <w:pPr>
        <w:jc w:val="both"/>
      </w:pPr>
    </w:p>
    <w:p w:rsidR="00F602D8" w:rsidRDefault="00F602D8" w:rsidP="00F602D8">
      <w:pPr>
        <w:jc w:val="both"/>
      </w:pPr>
    </w:p>
    <w:p w:rsidR="00F602D8" w:rsidRPr="00855368" w:rsidRDefault="00F602D8" w:rsidP="00855368">
      <w:pPr>
        <w:pStyle w:val="ListParagraph"/>
        <w:numPr>
          <w:ilvl w:val="0"/>
          <w:numId w:val="36"/>
        </w:numPr>
        <w:jc w:val="both"/>
        <w:rPr>
          <w:b/>
          <w:sz w:val="28"/>
          <w:szCs w:val="28"/>
        </w:rPr>
      </w:pPr>
      <w:r w:rsidRPr="00855368">
        <w:rPr>
          <w:b/>
          <w:sz w:val="28"/>
          <w:szCs w:val="28"/>
        </w:rPr>
        <w:lastRenderedPageBreak/>
        <w:t>Marking staff guidance</w:t>
      </w:r>
    </w:p>
    <w:p w:rsidR="00F602D8" w:rsidRPr="009405FC" w:rsidRDefault="00F602D8" w:rsidP="00F602D8">
      <w:pPr>
        <w:widowControl w:val="0"/>
        <w:rPr>
          <w:rFonts w:ascii="Maiandra GD" w:hAnsi="Maiandra GD"/>
          <w:b/>
          <w:bCs/>
        </w:rPr>
      </w:pPr>
      <w:r w:rsidRPr="009405FC">
        <w:rPr>
          <w:rFonts w:ascii="Maiandra GD" w:hAnsi="Maiandra GD"/>
          <w:b/>
          <w:bCs/>
        </w:rPr>
        <w:t>Wath Church of England Primary School</w:t>
      </w:r>
    </w:p>
    <w:p w:rsidR="00F602D8" w:rsidRPr="009405FC" w:rsidRDefault="00F602D8" w:rsidP="00F602D8">
      <w:pPr>
        <w:widowControl w:val="0"/>
        <w:rPr>
          <w:rFonts w:ascii="Maiandra GD" w:hAnsi="Maiandra GD"/>
          <w:b/>
          <w:bCs/>
        </w:rPr>
      </w:pPr>
      <w:r w:rsidRPr="009405FC">
        <w:rPr>
          <w:rFonts w:ascii="Maiandra GD" w:hAnsi="Maiandra GD"/>
          <w:b/>
          <w:bCs/>
        </w:rPr>
        <w:t>Marking and feedback guide </w:t>
      </w:r>
    </w:p>
    <w:p w:rsidR="00F602D8" w:rsidRPr="009405FC" w:rsidRDefault="00F602D8" w:rsidP="00F602D8">
      <w:pPr>
        <w:widowControl w:val="0"/>
        <w:rPr>
          <w:rFonts w:ascii="Maiandra GD" w:hAnsi="Maiandra GD"/>
          <w:b/>
          <w:bCs/>
          <w:u w:val="single"/>
        </w:rPr>
      </w:pPr>
      <w:r w:rsidRPr="009405FC">
        <w:rPr>
          <w:rFonts w:ascii="Maiandra GD" w:hAnsi="Maiandra GD"/>
          <w:b/>
          <w:bCs/>
          <w:u w:val="single"/>
        </w:rPr>
        <w:t>Symbols</w:t>
      </w:r>
    </w:p>
    <w:p w:rsidR="00F602D8" w:rsidRPr="009405FC" w:rsidRDefault="00F602D8" w:rsidP="00F602D8">
      <w:pPr>
        <w:widowControl w:val="0"/>
        <w:rPr>
          <w:rFonts w:ascii="Maiandra GD" w:hAnsi="Maiandra GD"/>
          <w:b/>
          <w:bCs/>
        </w:rPr>
      </w:pPr>
      <w:r w:rsidRPr="009405FC">
        <w:rPr>
          <w:rFonts w:ascii="Maiandra GD" w:hAnsi="Maiandra GD"/>
          <w:b/>
          <w:bCs/>
        </w:rPr>
        <w:t xml:space="preserve">SLI is same lesson intervention group. </w:t>
      </w:r>
    </w:p>
    <w:p w:rsidR="00F602D8" w:rsidRPr="009405FC" w:rsidRDefault="00F602D8" w:rsidP="00F602D8">
      <w:pPr>
        <w:widowControl w:val="0"/>
        <w:rPr>
          <w:rFonts w:ascii="Maiandra GD" w:hAnsi="Maiandra GD"/>
          <w:b/>
          <w:bCs/>
        </w:rPr>
      </w:pPr>
      <w:r w:rsidRPr="009405FC">
        <w:rPr>
          <w:rFonts w:ascii="Maiandra GD" w:hAnsi="Maiandra GD"/>
          <w:b/>
          <w:bCs/>
        </w:rPr>
        <w:t xml:space="preserve">I is you worked independently. </w:t>
      </w:r>
    </w:p>
    <w:p w:rsidR="00F602D8" w:rsidRPr="009405FC" w:rsidRDefault="00F602D8" w:rsidP="00F602D8">
      <w:pPr>
        <w:widowControl w:val="0"/>
        <w:rPr>
          <w:rFonts w:ascii="Maiandra GD" w:hAnsi="Maiandra GD"/>
          <w:b/>
          <w:bCs/>
        </w:rPr>
      </w:pPr>
      <w:r w:rsidRPr="009405FC">
        <w:rPr>
          <w:rFonts w:ascii="Maiandra GD" w:hAnsi="Maiandra GD"/>
          <w:b/>
          <w:bCs/>
        </w:rPr>
        <w:t>………. spelling error</w:t>
      </w:r>
    </w:p>
    <w:p w:rsidR="00F602D8" w:rsidRPr="009405FC" w:rsidRDefault="00F602D8" w:rsidP="00F602D8">
      <w:pPr>
        <w:widowControl w:val="0"/>
        <w:rPr>
          <w:rFonts w:ascii="Maiandra GD" w:hAnsi="Maiandra GD"/>
          <w:b/>
          <w:bCs/>
        </w:rPr>
      </w:pPr>
      <w:r w:rsidRPr="009405FC">
        <w:rPr>
          <w:rFonts w:ascii="Maiandra GD" w:hAnsi="Maiandra GD"/>
          <w:b/>
          <w:bCs/>
        </w:rPr>
        <w:softHyphen/>
      </w:r>
      <w:r w:rsidRPr="009405FC">
        <w:rPr>
          <w:rFonts w:ascii="Maiandra GD" w:hAnsi="Maiandra GD"/>
          <w:b/>
          <w:bCs/>
        </w:rPr>
        <w:softHyphen/>
      </w:r>
      <w:r w:rsidRPr="009405FC">
        <w:rPr>
          <w:rFonts w:ascii="Maiandra GD" w:hAnsi="Maiandra GD"/>
          <w:b/>
          <w:bCs/>
        </w:rPr>
        <w:softHyphen/>
      </w:r>
      <w:r w:rsidRPr="009405FC">
        <w:rPr>
          <w:rFonts w:ascii="Maiandra GD" w:hAnsi="Maiandra GD"/>
          <w:b/>
          <w:bCs/>
        </w:rPr>
        <w:softHyphen/>
      </w:r>
      <w:r w:rsidRPr="009405FC">
        <w:rPr>
          <w:rFonts w:ascii="Maiandra GD" w:hAnsi="Maiandra GD"/>
          <w:b/>
          <w:bCs/>
        </w:rPr>
        <w:softHyphen/>
        <w:t>______ wrong word</w:t>
      </w:r>
    </w:p>
    <w:p w:rsidR="00F602D8" w:rsidRPr="009405FC" w:rsidRDefault="007941F9" w:rsidP="00F602D8">
      <w:pPr>
        <w:widowControl w:val="0"/>
        <w:rPr>
          <w:rFonts w:ascii="Maiandra GD" w:hAnsi="Maiandra GD"/>
          <w:b/>
          <w:bCs/>
        </w:rPr>
      </w:pPr>
      <w:r w:rsidRPr="009405FC">
        <w:rPr>
          <w:rFonts w:ascii="Maiandra GD" w:hAnsi="Maiandra GD"/>
          <w:b/>
          <w:bCs/>
          <w:noProof/>
          <w:lang w:eastAsia="en-GB"/>
        </w:rPr>
        <mc:AlternateContent>
          <mc:Choice Requires="wps">
            <w:drawing>
              <wp:anchor distT="0" distB="0" distL="114300" distR="114300" simplePos="0" relativeHeight="251659264" behindDoc="0" locked="0" layoutInCell="1" allowOverlap="1" wp14:anchorId="3FBD0604" wp14:editId="519C91DB">
                <wp:simplePos x="0" y="0"/>
                <wp:positionH relativeFrom="column">
                  <wp:posOffset>-171450</wp:posOffset>
                </wp:positionH>
                <wp:positionV relativeFrom="paragraph">
                  <wp:posOffset>264160</wp:posOffset>
                </wp:positionV>
                <wp:extent cx="828675" cy="295275"/>
                <wp:effectExtent l="0" t="0" r="28575" b="28575"/>
                <wp:wrapNone/>
                <wp:docPr id="1" name="Oval 1"/>
                <wp:cNvGraphicFramePr/>
                <a:graphic xmlns:a="http://schemas.openxmlformats.org/drawingml/2006/main">
                  <a:graphicData uri="http://schemas.microsoft.com/office/word/2010/wordprocessingShape">
                    <wps:wsp>
                      <wps:cNvSpPr/>
                      <wps:spPr>
                        <a:xfrm>
                          <a:off x="0" y="0"/>
                          <a:ext cx="828675" cy="29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C6851" id="Oval 1" o:spid="_x0000_s1026" style="position:absolute;margin-left:-13.5pt;margin-top:20.8pt;width:6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" filled="f" strokecolor="#3f3f3f [1604]" strokeweight="2pt"/>
            </w:pict>
          </mc:Fallback>
        </mc:AlternateContent>
      </w:r>
      <w:r w:rsidR="00775CDF">
        <w:rPr>
          <w:rFonts w:ascii="Maiandra GD" w:hAnsi="Maiandra GD"/>
          <w:b/>
          <w:bCs/>
        </w:rPr>
        <w:t>V</w:t>
      </w:r>
      <w:r w:rsidR="004C5940">
        <w:rPr>
          <w:rFonts w:ascii="Maiandra GD" w:hAnsi="Maiandra GD"/>
          <w:b/>
          <w:bCs/>
        </w:rPr>
        <w:t xml:space="preserve"> </w:t>
      </w:r>
      <w:r w:rsidR="00F602D8" w:rsidRPr="009405FC">
        <w:rPr>
          <w:rFonts w:ascii="Maiandra GD" w:hAnsi="Maiandra GD"/>
          <w:b/>
          <w:bCs/>
        </w:rPr>
        <w:t>missing word</w:t>
      </w:r>
    </w:p>
    <w:p w:rsidR="00F602D8" w:rsidRPr="009405FC" w:rsidRDefault="00F602D8" w:rsidP="00F602D8">
      <w:pPr>
        <w:widowControl w:val="0"/>
        <w:rPr>
          <w:rFonts w:ascii="Maiandra GD" w:hAnsi="Maiandra GD"/>
          <w:b/>
          <w:bCs/>
        </w:rPr>
      </w:pPr>
      <w:r w:rsidRPr="009405FC">
        <w:rPr>
          <w:rFonts w:ascii="Maiandra GD" w:hAnsi="Maiandra GD"/>
          <w:b/>
          <w:bCs/>
        </w:rPr>
        <w:t xml:space="preserve">                  missing punctuation</w:t>
      </w:r>
    </w:p>
    <w:p w:rsidR="009405FC" w:rsidRDefault="009405FC" w:rsidP="00F602D8">
      <w:pPr>
        <w:widowControl w:val="0"/>
        <w:rPr>
          <w:rFonts w:ascii="Maiandra GD" w:hAnsi="Maiandra GD"/>
          <w:b/>
          <w:bCs/>
        </w:rPr>
      </w:pPr>
      <w:r w:rsidRPr="009405FC">
        <w:rPr>
          <w:rFonts w:ascii="Maiandra GD" w:hAnsi="Maiandra GD"/>
          <w:b/>
          <w:bCs/>
        </w:rPr>
        <w:t>VF Verbal Feedback</w:t>
      </w:r>
    </w:p>
    <w:p w:rsidR="004C5940" w:rsidRPr="009405FC" w:rsidRDefault="004C5940" w:rsidP="00F602D8">
      <w:pPr>
        <w:widowControl w:val="0"/>
        <w:rPr>
          <w:rFonts w:ascii="Maiandra GD" w:hAnsi="Maiandra GD"/>
          <w:b/>
          <w:bCs/>
        </w:rPr>
      </w:pPr>
      <w:r>
        <w:rPr>
          <w:rFonts w:ascii="Maiandra GD" w:hAnsi="Maiandra GD"/>
          <w:b/>
          <w:bCs/>
        </w:rPr>
        <w:t xml:space="preserve">V Verbal answer from a child. </w:t>
      </w:r>
    </w:p>
    <w:p w:rsidR="00F602D8" w:rsidRPr="009405FC" w:rsidRDefault="00F602D8" w:rsidP="00F602D8">
      <w:pPr>
        <w:widowControl w:val="0"/>
        <w:rPr>
          <w:rFonts w:ascii="Maiandra GD" w:hAnsi="Maiandra GD"/>
          <w:b/>
          <w:bCs/>
          <w:u w:val="single"/>
        </w:rPr>
      </w:pPr>
      <w:r w:rsidRPr="009405FC">
        <w:rPr>
          <w:rFonts w:ascii="Maiandra GD" w:hAnsi="Maiandra GD"/>
          <w:b/>
          <w:bCs/>
          <w:u w:val="single"/>
        </w:rPr>
        <w:t>Pen code</w:t>
      </w:r>
    </w:p>
    <w:p w:rsidR="00F602D8" w:rsidRPr="009405FC" w:rsidRDefault="00F602D8" w:rsidP="00F602D8">
      <w:pPr>
        <w:widowControl w:val="0"/>
        <w:rPr>
          <w:rFonts w:ascii="Maiandra GD" w:hAnsi="Maiandra GD"/>
          <w:color w:val="0070C0"/>
        </w:rPr>
      </w:pPr>
      <w:r w:rsidRPr="009405FC">
        <w:rPr>
          <w:rFonts w:ascii="Maiandra GD" w:hAnsi="Maiandra GD"/>
          <w:color w:val="0070C0"/>
          <w:u w:val="single"/>
        </w:rPr>
        <w:t xml:space="preserve">Self </w:t>
      </w:r>
      <w:r w:rsidRPr="009405FC">
        <w:rPr>
          <w:rFonts w:ascii="Maiandra GD" w:hAnsi="Maiandra GD"/>
          <w:color w:val="0070C0"/>
        </w:rPr>
        <w:t xml:space="preserve">and </w:t>
      </w:r>
      <w:r w:rsidRPr="009405FC">
        <w:rPr>
          <w:rFonts w:ascii="Maiandra GD" w:hAnsi="Maiandra GD"/>
          <w:color w:val="0070C0"/>
          <w:u w:val="single"/>
        </w:rPr>
        <w:t xml:space="preserve">peer </w:t>
      </w:r>
      <w:r w:rsidRPr="009405FC">
        <w:rPr>
          <w:rFonts w:ascii="Maiandra GD" w:hAnsi="Maiandra GD"/>
          <w:color w:val="0070C0"/>
        </w:rPr>
        <w:t>assessment</w:t>
      </w:r>
    </w:p>
    <w:p w:rsidR="00F602D8" w:rsidRPr="009405FC" w:rsidRDefault="00F602D8" w:rsidP="00F602D8">
      <w:pPr>
        <w:widowControl w:val="0"/>
        <w:rPr>
          <w:rFonts w:ascii="Maiandra GD" w:hAnsi="Maiandra GD"/>
          <w:color w:val="00B050"/>
        </w:rPr>
      </w:pPr>
      <w:r w:rsidRPr="009405FC">
        <w:rPr>
          <w:rFonts w:ascii="Maiandra GD" w:hAnsi="Maiandra GD"/>
          <w:color w:val="00B050"/>
        </w:rPr>
        <w:t>Teacher assessment</w:t>
      </w:r>
    </w:p>
    <w:p w:rsidR="00F602D8" w:rsidRPr="009405FC" w:rsidRDefault="00F602D8" w:rsidP="00F602D8">
      <w:pPr>
        <w:widowControl w:val="0"/>
        <w:rPr>
          <w:rFonts w:ascii="Maiandra GD" w:hAnsi="Maiandra GD"/>
          <w:color w:val="00B050"/>
        </w:rPr>
      </w:pPr>
      <w:r w:rsidRPr="009405FC">
        <w:rPr>
          <w:rFonts w:ascii="Maiandra GD" w:hAnsi="Maiandra GD"/>
          <w:color w:val="00B050"/>
        </w:rPr>
        <w:t>NS     Next steps</w:t>
      </w:r>
    </w:p>
    <w:p w:rsidR="00F602D8" w:rsidRPr="009405FC" w:rsidRDefault="00F602D8" w:rsidP="00F602D8">
      <w:pPr>
        <w:widowControl w:val="0"/>
        <w:rPr>
          <w:rFonts w:ascii="Maiandra GD" w:hAnsi="Maiandra GD"/>
          <w:color w:val="000000"/>
        </w:rPr>
      </w:pPr>
      <w:r w:rsidRPr="00B51A9F">
        <w:rPr>
          <w:rFonts w:ascii="Maiandra GD" w:hAnsi="Maiandra GD"/>
          <w:color w:val="0070C0"/>
        </w:rPr>
        <w:t>KS2 marking response</w:t>
      </w:r>
      <w:r w:rsidR="006C394B">
        <w:rPr>
          <w:rFonts w:ascii="Maiandra GD" w:hAnsi="Maiandra GD"/>
          <w:color w:val="0070C0"/>
        </w:rPr>
        <w:t xml:space="preserve"> in pen </w:t>
      </w:r>
      <w:bookmarkStart w:id="11" w:name="_GoBack"/>
      <w:bookmarkEnd w:id="11"/>
      <w:r w:rsidR="00B51A9F" w:rsidRPr="00B51A9F">
        <w:rPr>
          <w:rFonts w:ascii="Maiandra GD" w:hAnsi="Maiandra GD"/>
        </w:rPr>
        <w:t>or pencil</w:t>
      </w:r>
      <w:r w:rsidRPr="00B51A9F">
        <w:rPr>
          <w:rFonts w:ascii="Maiandra GD" w:hAnsi="Maiandra GD"/>
        </w:rPr>
        <w:t>/infant response in pencil</w:t>
      </w:r>
      <w:r w:rsidRPr="009405FC">
        <w:rPr>
          <w:rFonts w:ascii="Maiandra GD" w:hAnsi="Maiandra GD"/>
        </w:rPr>
        <w:t> </w:t>
      </w:r>
    </w:p>
    <w:p w:rsidR="00F602D8" w:rsidRPr="009405FC" w:rsidRDefault="00F602D8" w:rsidP="00F602D8">
      <w:pPr>
        <w:widowControl w:val="0"/>
        <w:rPr>
          <w:rFonts w:ascii="Maiandra GD" w:hAnsi="Maiandra GD"/>
          <w:u w:val="single"/>
        </w:rPr>
      </w:pPr>
      <w:r w:rsidRPr="009405FC">
        <w:rPr>
          <w:rFonts w:ascii="Maiandra GD" w:hAnsi="Maiandra GD"/>
          <w:u w:val="single"/>
        </w:rPr>
        <w:t>Feedback guarantee</w:t>
      </w:r>
    </w:p>
    <w:p w:rsidR="00F602D8" w:rsidRDefault="009405FC" w:rsidP="00F602D8">
      <w:pPr>
        <w:widowControl w:val="0"/>
        <w:rPr>
          <w:rFonts w:ascii="Maiandra GD" w:hAnsi="Maiandra GD"/>
        </w:rPr>
      </w:pPr>
      <w:r w:rsidRPr="009405FC">
        <w:rPr>
          <w:rFonts w:ascii="Maiandra GD" w:hAnsi="Maiandra GD"/>
        </w:rPr>
        <w:t>Each child will respond to one next step</w:t>
      </w:r>
      <w:r w:rsidR="00F602D8" w:rsidRPr="009405FC">
        <w:rPr>
          <w:rFonts w:ascii="Maiandra GD" w:hAnsi="Maiandra GD"/>
        </w:rPr>
        <w:t xml:space="preserve"> each week in English and maths. </w:t>
      </w:r>
      <w:r w:rsidR="00775CDF">
        <w:rPr>
          <w:rFonts w:ascii="Maiandra GD" w:hAnsi="Maiandra GD"/>
        </w:rPr>
        <w:t xml:space="preserve">This can be as written feedback but more often will verbal feedback. </w:t>
      </w:r>
    </w:p>
    <w:p w:rsidR="008C1F2C" w:rsidRPr="009405FC" w:rsidRDefault="008C1F2C" w:rsidP="00F602D8">
      <w:pPr>
        <w:widowControl w:val="0"/>
        <w:rPr>
          <w:rFonts w:ascii="Maiandra GD" w:hAnsi="Maiandra GD"/>
        </w:rPr>
      </w:pPr>
      <w:r>
        <w:rPr>
          <w:rFonts w:ascii="Maiandra GD" w:hAnsi="Maiandra GD"/>
        </w:rPr>
        <w:t>G</w:t>
      </w:r>
      <w:r w:rsidR="00855368">
        <w:rPr>
          <w:rFonts w:ascii="Maiandra GD" w:hAnsi="Maiandra GD"/>
        </w:rPr>
        <w:t>uided reading pupil books in KS2</w:t>
      </w:r>
      <w:r>
        <w:rPr>
          <w:rFonts w:ascii="Maiandra GD" w:hAnsi="Maiandra GD"/>
        </w:rPr>
        <w:t xml:space="preserve"> are marked. </w:t>
      </w:r>
    </w:p>
    <w:p w:rsidR="00F602D8" w:rsidRDefault="00F602D8" w:rsidP="00F602D8">
      <w:pPr>
        <w:widowControl w:val="0"/>
        <w:rPr>
          <w:rFonts w:ascii="Maiandra GD" w:hAnsi="Maiandra GD"/>
        </w:rPr>
      </w:pPr>
      <w:r w:rsidRPr="009405FC">
        <w:rPr>
          <w:rFonts w:ascii="Maiandra GD" w:hAnsi="Maiandra GD"/>
        </w:rPr>
        <w:t xml:space="preserve">In </w:t>
      </w:r>
      <w:r w:rsidR="008C1F2C">
        <w:rPr>
          <w:rFonts w:ascii="Maiandra GD" w:hAnsi="Maiandra GD"/>
        </w:rPr>
        <w:t xml:space="preserve">the </w:t>
      </w:r>
      <w:r w:rsidRPr="009405FC">
        <w:rPr>
          <w:rFonts w:ascii="Maiandra GD" w:hAnsi="Maiandra GD"/>
        </w:rPr>
        <w:t xml:space="preserve">foundation subjects, </w:t>
      </w:r>
      <w:r w:rsidR="009405FC" w:rsidRPr="009405FC">
        <w:rPr>
          <w:rFonts w:ascii="Maiandra GD" w:hAnsi="Maiandra GD"/>
        </w:rPr>
        <w:t xml:space="preserve">learning is marked to the success criteria. </w:t>
      </w:r>
    </w:p>
    <w:p w:rsidR="009405FC" w:rsidRPr="009405FC" w:rsidRDefault="009405FC" w:rsidP="00F602D8">
      <w:pPr>
        <w:widowControl w:val="0"/>
        <w:rPr>
          <w:rFonts w:ascii="Maiandra GD" w:hAnsi="Maiandra GD"/>
        </w:rPr>
      </w:pPr>
      <w:r>
        <w:rPr>
          <w:rFonts w:ascii="Maiandra GD" w:hAnsi="Maiandra GD"/>
        </w:rPr>
        <w:t>Spelling</w:t>
      </w:r>
      <w:r w:rsidR="004C5940">
        <w:rPr>
          <w:rFonts w:ascii="Maiandra GD" w:hAnsi="Maiandra GD"/>
        </w:rPr>
        <w:t>s</w:t>
      </w:r>
      <w:r>
        <w:rPr>
          <w:rFonts w:ascii="Maiandra GD" w:hAnsi="Maiandra GD"/>
        </w:rPr>
        <w:t xml:space="preserve"> are identified to correct in</w:t>
      </w:r>
      <w:r w:rsidR="008C1F2C">
        <w:rPr>
          <w:rFonts w:ascii="Maiandra GD" w:hAnsi="Maiandra GD"/>
        </w:rPr>
        <w:t xml:space="preserve"> some</w:t>
      </w:r>
      <w:r>
        <w:rPr>
          <w:rFonts w:ascii="Maiandra GD" w:hAnsi="Maiandra GD"/>
        </w:rPr>
        <w:t xml:space="preserve"> English and foundation subjects lessons. </w:t>
      </w:r>
    </w:p>
    <w:p w:rsidR="00F602D8" w:rsidRPr="009405FC" w:rsidRDefault="00F602D8" w:rsidP="00F602D8">
      <w:pPr>
        <w:widowControl w:val="0"/>
        <w:rPr>
          <w:rFonts w:ascii="Maiandra GD" w:hAnsi="Maiandra GD"/>
          <w:u w:val="single"/>
        </w:rPr>
      </w:pPr>
      <w:r w:rsidRPr="009405FC">
        <w:rPr>
          <w:rFonts w:ascii="Maiandra GD" w:hAnsi="Maiandra GD"/>
          <w:u w:val="single"/>
        </w:rPr>
        <w:t>Feedback types</w:t>
      </w:r>
    </w:p>
    <w:p w:rsidR="00F602D8" w:rsidRDefault="00F602D8" w:rsidP="009405FC">
      <w:pPr>
        <w:widowControl w:val="0"/>
        <w:rPr>
          <w:rFonts w:ascii="Maiandra GD" w:hAnsi="Maiandra GD"/>
        </w:rPr>
      </w:pPr>
      <w:r w:rsidRPr="009405FC">
        <w:rPr>
          <w:rFonts w:ascii="Maiandra GD" w:hAnsi="Maiandra GD"/>
        </w:rPr>
        <w:t xml:space="preserve">Feedback will focus on next steps in relation to the success criteria. </w:t>
      </w:r>
      <w:r w:rsidR="009405FC">
        <w:rPr>
          <w:rFonts w:ascii="Maiandra GD" w:hAnsi="Maiandra GD"/>
        </w:rPr>
        <w:t xml:space="preserve">This will be in the most appropriate feedback to make a difference to learning. Some feedback will be written and some will be verbal indicated by VF still relating to the success criteria. </w:t>
      </w:r>
      <w:r w:rsidR="00775CDF">
        <w:rPr>
          <w:rFonts w:ascii="Maiandra GD" w:hAnsi="Maiandra GD"/>
        </w:rPr>
        <w:t xml:space="preserve">The majority of feedback will be verbal feedback to make feedback the most immediate and meaningful. </w:t>
      </w:r>
    </w:p>
    <w:p w:rsidR="009405FC" w:rsidRDefault="009405FC" w:rsidP="00F602D8">
      <w:pPr>
        <w:widowControl w:val="0"/>
        <w:rPr>
          <w:rFonts w:ascii="Maiandra GD" w:hAnsi="Maiandra GD"/>
        </w:rPr>
      </w:pPr>
    </w:p>
    <w:p w:rsidR="008C1F2C" w:rsidRPr="009405FC" w:rsidRDefault="008C1F2C" w:rsidP="00F602D8">
      <w:pPr>
        <w:widowControl w:val="0"/>
        <w:rPr>
          <w:rFonts w:ascii="Maiandra GD" w:hAnsi="Maiandra GD"/>
        </w:rPr>
      </w:pPr>
    </w:p>
    <w:p w:rsidR="001A64FD" w:rsidRPr="00F47C76" w:rsidRDefault="0034160E" w:rsidP="00855368">
      <w:pPr>
        <w:pStyle w:val="Heading10"/>
        <w:numPr>
          <w:ilvl w:val="0"/>
          <w:numId w:val="36"/>
        </w:numPr>
        <w:jc w:val="both"/>
        <w:rPr>
          <w:b/>
        </w:rPr>
      </w:pPr>
      <w:bookmarkStart w:id="12" w:name="_Reviewing_progress"/>
      <w:bookmarkEnd w:id="12"/>
      <w:r w:rsidRPr="00F47C76">
        <w:rPr>
          <w:b/>
        </w:rPr>
        <w:t>Reviewing progress</w:t>
      </w:r>
    </w:p>
    <w:p w:rsidR="00167B69" w:rsidRPr="00F47C76" w:rsidRDefault="001A64FD" w:rsidP="00B21653">
      <w:pPr>
        <w:jc w:val="both"/>
      </w:pPr>
      <w:r w:rsidRPr="00F47C76">
        <w:t>It is important to continually evaluate</w:t>
      </w:r>
      <w:r w:rsidR="00616F0B" w:rsidRPr="00F47C76">
        <w:t xml:space="preserve"> whether the </w:t>
      </w:r>
      <w:r w:rsidR="00076595" w:rsidRPr="00F47C76">
        <w:t xml:space="preserve">school’s </w:t>
      </w:r>
      <w:r w:rsidR="007A42D0" w:rsidRPr="00F47C76">
        <w:t>marking</w:t>
      </w:r>
      <w:r w:rsidRPr="00F47C76">
        <w:t xml:space="preserve"> and </w:t>
      </w:r>
      <w:r w:rsidR="00855368">
        <w:t>f</w:t>
      </w:r>
      <w:r w:rsidR="00167B69" w:rsidRPr="00F47C76">
        <w:t xml:space="preserve">eedback </w:t>
      </w:r>
      <w:r w:rsidR="00855368">
        <w:t>p</w:t>
      </w:r>
      <w:r w:rsidR="00AF4B49" w:rsidRPr="00F47C76">
        <w:t>olicy</w:t>
      </w:r>
      <w:r w:rsidRPr="00F47C76">
        <w:t xml:space="preserve"> </w:t>
      </w:r>
      <w:r w:rsidR="00AF4B49" w:rsidRPr="00F47C76">
        <w:t>is</w:t>
      </w:r>
      <w:r w:rsidR="00167B69" w:rsidRPr="00F47C76">
        <w:t xml:space="preserve"> </w:t>
      </w:r>
      <w:r w:rsidR="008F3142" w:rsidRPr="00F47C76">
        <w:t>working</w:t>
      </w:r>
      <w:r w:rsidR="00167B69" w:rsidRPr="00F47C76">
        <w:t>. One effective way of reviewing the current policy is to cross</w:t>
      </w:r>
      <w:r w:rsidR="00877BB1" w:rsidRPr="00F47C76">
        <w:t>-</w:t>
      </w:r>
      <w:r w:rsidR="00167B69" w:rsidRPr="00F47C76">
        <w:t xml:space="preserve">check </w:t>
      </w:r>
      <w:r w:rsidR="00AF4B49" w:rsidRPr="00F47C76">
        <w:t>teachers marking</w:t>
      </w:r>
      <w:r w:rsidR="00167B69" w:rsidRPr="00F47C76">
        <w:t xml:space="preserve">. </w:t>
      </w:r>
      <w:r w:rsidR="00083E88" w:rsidRPr="00F47C76">
        <w:t>This can be done on the time periods set out below:</w:t>
      </w:r>
    </w:p>
    <w:p w:rsidR="00DF7766" w:rsidRDefault="00167B69" w:rsidP="00DF7766">
      <w:pPr>
        <w:pStyle w:val="ListParagraph"/>
        <w:numPr>
          <w:ilvl w:val="0"/>
          <w:numId w:val="32"/>
        </w:numPr>
        <w:jc w:val="both"/>
      </w:pPr>
      <w:r w:rsidRPr="00F47C76">
        <w:t>Every</w:t>
      </w:r>
      <w:r w:rsidR="00DF7766">
        <w:t xml:space="preserve"> term members of the senior leadership team review marking in core and foundation subjects in relation to marking and feedback guidance. </w:t>
      </w:r>
    </w:p>
    <w:p w:rsidR="00DF7766" w:rsidRDefault="00DF7766" w:rsidP="00DF7766">
      <w:pPr>
        <w:pStyle w:val="ListParagraph"/>
        <w:numPr>
          <w:ilvl w:val="0"/>
          <w:numId w:val="32"/>
        </w:numPr>
        <w:jc w:val="both"/>
      </w:pPr>
      <w:r>
        <w:t xml:space="preserve">Whole school successes will be celebrated whilst teachers with next steps will be given support to achieve these goals. </w:t>
      </w:r>
    </w:p>
    <w:p w:rsidR="00F47C76" w:rsidRDefault="00167B69" w:rsidP="00DF7766">
      <w:pPr>
        <w:jc w:val="both"/>
      </w:pPr>
      <w:r w:rsidRPr="00F47C76">
        <w:t xml:space="preserve"> </w:t>
      </w:r>
      <w:r w:rsidR="005C330E" w:rsidRPr="00F47C76">
        <w:t>Thi</w:t>
      </w:r>
      <w:r w:rsidR="00DF7766">
        <w:t>s policy will be reviewed on an annual basis by the governing body</w:t>
      </w:r>
      <w:r w:rsidR="00855368">
        <w:t>.</w:t>
      </w:r>
    </w:p>
    <w:p w:rsidR="00F47C76" w:rsidRDefault="00F802CD" w:rsidP="00F47C76">
      <w:pPr>
        <w:jc w:val="both"/>
      </w:pPr>
      <w:r>
        <w:t>Review date: January 2020</w:t>
      </w:r>
    </w:p>
    <w:p w:rsidR="00F802CD" w:rsidRPr="00F47C76" w:rsidRDefault="00F802CD" w:rsidP="00F47C76">
      <w:pPr>
        <w:jc w:val="both"/>
      </w:pPr>
      <w:r>
        <w:t>Next review date: January 2021</w:t>
      </w:r>
    </w:p>
    <w:sectPr w:rsidR="00F802CD" w:rsidRPr="00F47C76" w:rsidSect="00674B0B">
      <w:headerReference w:type="default" r:id="rId11"/>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66" w:rsidRDefault="00DF7766" w:rsidP="00AD4155">
      <w:pPr>
        <w:spacing w:after="0" w:line="240" w:lineRule="auto"/>
      </w:pPr>
      <w:r>
        <w:separator/>
      </w:r>
    </w:p>
  </w:endnote>
  <w:endnote w:type="continuationSeparator" w:id="0">
    <w:p w:rsidR="00DF7766" w:rsidRDefault="00DF7766"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A8509D1-4AD7-423B-AC48-3837818934BF}"/>
  </w:font>
  <w:font w:name="Maiandra GD">
    <w:panose1 w:val="020E0502030308020204"/>
    <w:charset w:val="00"/>
    <w:family w:val="swiss"/>
    <w:pitch w:val="variable"/>
    <w:sig w:usb0="00000003" w:usb1="00000000" w:usb2="00000000" w:usb3="00000000" w:csb0="00000001" w:csb1="00000000"/>
    <w:embedRegular r:id="rId2" w:fontKey="{4D1A5AFD-DBF4-4D57-9619-5B1CABE8EFCB}"/>
    <w:embedBold r:id="rId3" w:fontKey="{822CBA80-556B-4212-BF4D-6B3E95ACB10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66" w:rsidRDefault="00DF7766" w:rsidP="00AD4155">
      <w:pPr>
        <w:spacing w:after="0" w:line="240" w:lineRule="auto"/>
      </w:pPr>
      <w:r>
        <w:separator/>
      </w:r>
    </w:p>
  </w:footnote>
  <w:footnote w:type="continuationSeparator" w:id="0">
    <w:p w:rsidR="00DF7766" w:rsidRDefault="00DF7766"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66" w:rsidRDefault="00DF7766" w:rsidP="00186497">
    <w:pPr>
      <w:pStyle w:val="Header"/>
      <w:tabs>
        <w:tab w:val="clear" w:pos="4513"/>
        <w:tab w:val="clear" w:pos="9026"/>
        <w:tab w:val="left" w:pos="1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F5"/>
    <w:multiLevelType w:val="multilevel"/>
    <w:tmpl w:val="9AB495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BE1501"/>
    <w:multiLevelType w:val="hybridMultilevel"/>
    <w:tmpl w:val="FED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37BA9"/>
    <w:multiLevelType w:val="multilevel"/>
    <w:tmpl w:val="9D6CB1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B3AA0"/>
    <w:multiLevelType w:val="hybridMultilevel"/>
    <w:tmpl w:val="86CA8DA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AD49EA"/>
    <w:multiLevelType w:val="hybridMultilevel"/>
    <w:tmpl w:val="C47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2F9F"/>
    <w:multiLevelType w:val="hybridMultilevel"/>
    <w:tmpl w:val="3C6EB54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7" w15:restartNumberingAfterBreak="0">
    <w:nsid w:val="1949454C"/>
    <w:multiLevelType w:val="hybridMultilevel"/>
    <w:tmpl w:val="798C8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637CD"/>
    <w:multiLevelType w:val="hybridMultilevel"/>
    <w:tmpl w:val="F3A2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24607"/>
    <w:multiLevelType w:val="hybridMultilevel"/>
    <w:tmpl w:val="84A66B5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3DE2F6B"/>
    <w:multiLevelType w:val="multilevel"/>
    <w:tmpl w:val="9566E3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AB68D7"/>
    <w:multiLevelType w:val="multilevel"/>
    <w:tmpl w:val="99000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B10F3"/>
    <w:multiLevelType w:val="hybridMultilevel"/>
    <w:tmpl w:val="C63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F6075"/>
    <w:multiLevelType w:val="hybridMultilevel"/>
    <w:tmpl w:val="81763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9B3BEA"/>
    <w:multiLevelType w:val="hybridMultilevel"/>
    <w:tmpl w:val="6C36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C10F6"/>
    <w:multiLevelType w:val="hybridMultilevel"/>
    <w:tmpl w:val="BEC41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6F528C"/>
    <w:multiLevelType w:val="multilevel"/>
    <w:tmpl w:val="1C147DA8"/>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391A68BF"/>
    <w:multiLevelType w:val="hybridMultilevel"/>
    <w:tmpl w:val="80ACE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9212FE"/>
    <w:multiLevelType w:val="hybridMultilevel"/>
    <w:tmpl w:val="B1BE46A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9" w15:restartNumberingAfterBreak="0">
    <w:nsid w:val="3FBE1D74"/>
    <w:multiLevelType w:val="hybridMultilevel"/>
    <w:tmpl w:val="2DDE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021D7"/>
    <w:multiLevelType w:val="hybridMultilevel"/>
    <w:tmpl w:val="FBF8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46D56FA"/>
    <w:multiLevelType w:val="hybridMultilevel"/>
    <w:tmpl w:val="0C64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686B3E"/>
    <w:multiLevelType w:val="hybridMultilevel"/>
    <w:tmpl w:val="DDC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A61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4C3C1A"/>
    <w:multiLevelType w:val="multilevel"/>
    <w:tmpl w:val="0018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6671A1"/>
    <w:multiLevelType w:val="hybridMultilevel"/>
    <w:tmpl w:val="F2288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96345"/>
    <w:multiLevelType w:val="multilevel"/>
    <w:tmpl w:val="23C21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7A63EB"/>
    <w:multiLevelType w:val="hybridMultilevel"/>
    <w:tmpl w:val="3392C4D4"/>
    <w:lvl w:ilvl="0" w:tplc="8A86D79C">
      <w:start w:val="1"/>
      <w:numFmt w:val="bullet"/>
      <w:pStyle w:val="TSB-PolicyBullets"/>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56942CD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1101FF"/>
    <w:multiLevelType w:val="multilevel"/>
    <w:tmpl w:val="770C7514"/>
    <w:lvl w:ilvl="0">
      <w:start w:val="1"/>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2" w15:restartNumberingAfterBreak="0">
    <w:nsid w:val="61C10330"/>
    <w:multiLevelType w:val="hybridMultilevel"/>
    <w:tmpl w:val="9198E864"/>
    <w:lvl w:ilvl="0" w:tplc="EC0883EC">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D3676D"/>
    <w:multiLevelType w:val="hybridMultilevel"/>
    <w:tmpl w:val="3112D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0E4050"/>
    <w:multiLevelType w:val="hybridMultilevel"/>
    <w:tmpl w:val="22DA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642E2"/>
    <w:multiLevelType w:val="hybridMultilevel"/>
    <w:tmpl w:val="399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F237D"/>
    <w:multiLevelType w:val="hybridMultilevel"/>
    <w:tmpl w:val="67FEE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34"/>
  </w:num>
  <w:num w:numId="3">
    <w:abstractNumId w:val="27"/>
  </w:num>
  <w:num w:numId="4">
    <w:abstractNumId w:val="2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29"/>
  </w:num>
  <w:num w:numId="7">
    <w:abstractNumId w:val="21"/>
    <w:lvlOverride w:ilvl="0">
      <w:lvl w:ilvl="0">
        <w:start w:val="1"/>
        <w:numFmt w:val="decimal"/>
        <w:pStyle w:val="Heading10"/>
        <w:lvlText w:val="%1."/>
        <w:lvlJc w:val="left"/>
        <w:pPr>
          <w:ind w:left="360" w:hanging="360"/>
        </w:pPr>
        <w:rPr>
          <w:rFonts w:asciiTheme="minorHAnsi" w:eastAsiaTheme="minorHAnsi" w:hAnsiTheme="minorHAnsi" w:cstheme="minorBidi"/>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9"/>
  </w:num>
  <w:num w:numId="9">
    <w:abstractNumId w:val="3"/>
  </w:num>
  <w:num w:numId="10">
    <w:abstractNumId w:val="37"/>
  </w:num>
  <w:num w:numId="11">
    <w:abstractNumId w:val="20"/>
  </w:num>
  <w:num w:numId="12">
    <w:abstractNumId w:val="23"/>
  </w:num>
  <w:num w:numId="13">
    <w:abstractNumId w:val="8"/>
  </w:num>
  <w:num w:numId="14">
    <w:abstractNumId w:val="14"/>
  </w:num>
  <w:num w:numId="15">
    <w:abstractNumId w:val="1"/>
  </w:num>
  <w:num w:numId="16">
    <w:abstractNumId w:val="12"/>
  </w:num>
  <w:num w:numId="17">
    <w:abstractNumId w:val="36"/>
  </w:num>
  <w:num w:numId="18">
    <w:abstractNumId w:val="9"/>
  </w:num>
  <w:num w:numId="19">
    <w:abstractNumId w:val="5"/>
  </w:num>
  <w:num w:numId="20">
    <w:abstractNumId w:val="32"/>
  </w:num>
  <w:num w:numId="21">
    <w:abstractNumId w:val="28"/>
  </w:num>
  <w:num w:numId="22">
    <w:abstractNumId w:val="11"/>
  </w:num>
  <w:num w:numId="23">
    <w:abstractNumId w:val="26"/>
  </w:num>
  <w:num w:numId="24">
    <w:abstractNumId w:val="6"/>
  </w:num>
  <w:num w:numId="25">
    <w:abstractNumId w:val="17"/>
  </w:num>
  <w:num w:numId="26">
    <w:abstractNumId w:val="22"/>
  </w:num>
  <w:num w:numId="27">
    <w:abstractNumId w:val="38"/>
  </w:num>
  <w:num w:numId="28">
    <w:abstractNumId w:val="15"/>
  </w:num>
  <w:num w:numId="29">
    <w:abstractNumId w:val="7"/>
  </w:num>
  <w:num w:numId="30">
    <w:abstractNumId w:val="35"/>
  </w:num>
  <w:num w:numId="31">
    <w:abstractNumId w:val="13"/>
  </w:num>
  <w:num w:numId="32">
    <w:abstractNumId w:val="18"/>
  </w:num>
  <w:num w:numId="33">
    <w:abstractNumId w:val="31"/>
  </w:num>
  <w:num w:numId="34">
    <w:abstractNumId w:val="0"/>
  </w:num>
  <w:num w:numId="35">
    <w:abstractNumId w:val="16"/>
  </w:num>
  <w:num w:numId="36">
    <w:abstractNumId w:val="24"/>
  </w:num>
  <w:num w:numId="37">
    <w:abstractNumId w:val="25"/>
  </w:num>
  <w:num w:numId="38">
    <w:abstractNumId w:val="10"/>
  </w:num>
  <w:num w:numId="39">
    <w:abstractNumId w:val="30"/>
  </w:num>
  <w:num w:numId="4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4"/>
    <w:rsid w:val="000100B6"/>
    <w:rsid w:val="0001177F"/>
    <w:rsid w:val="000118E2"/>
    <w:rsid w:val="00014CF2"/>
    <w:rsid w:val="00015C00"/>
    <w:rsid w:val="00016941"/>
    <w:rsid w:val="00026E67"/>
    <w:rsid w:val="000309F5"/>
    <w:rsid w:val="00037174"/>
    <w:rsid w:val="000402B3"/>
    <w:rsid w:val="00040C15"/>
    <w:rsid w:val="00040E9B"/>
    <w:rsid w:val="0004203D"/>
    <w:rsid w:val="00042069"/>
    <w:rsid w:val="000424D3"/>
    <w:rsid w:val="00047288"/>
    <w:rsid w:val="00056533"/>
    <w:rsid w:val="000567E2"/>
    <w:rsid w:val="000606F6"/>
    <w:rsid w:val="00065C6B"/>
    <w:rsid w:val="000701DA"/>
    <w:rsid w:val="00076595"/>
    <w:rsid w:val="00080091"/>
    <w:rsid w:val="00083E88"/>
    <w:rsid w:val="000920B6"/>
    <w:rsid w:val="00095EF3"/>
    <w:rsid w:val="000A621C"/>
    <w:rsid w:val="000A6B9C"/>
    <w:rsid w:val="000A738F"/>
    <w:rsid w:val="000B1080"/>
    <w:rsid w:val="000B11F3"/>
    <w:rsid w:val="000B16CC"/>
    <w:rsid w:val="000B213E"/>
    <w:rsid w:val="000B44E5"/>
    <w:rsid w:val="000B4624"/>
    <w:rsid w:val="000B5097"/>
    <w:rsid w:val="000B7B80"/>
    <w:rsid w:val="000B7C9B"/>
    <w:rsid w:val="000C061E"/>
    <w:rsid w:val="000C7259"/>
    <w:rsid w:val="000D00DE"/>
    <w:rsid w:val="000D32B6"/>
    <w:rsid w:val="000D618A"/>
    <w:rsid w:val="000D6CB9"/>
    <w:rsid w:val="000E006C"/>
    <w:rsid w:val="000E2C37"/>
    <w:rsid w:val="000E3A6F"/>
    <w:rsid w:val="000E451C"/>
    <w:rsid w:val="000E4979"/>
    <w:rsid w:val="000E6EDE"/>
    <w:rsid w:val="000F0BDC"/>
    <w:rsid w:val="000F1DB1"/>
    <w:rsid w:val="000F2717"/>
    <w:rsid w:val="000F5FE6"/>
    <w:rsid w:val="000F6641"/>
    <w:rsid w:val="001027B0"/>
    <w:rsid w:val="00102F13"/>
    <w:rsid w:val="001041F9"/>
    <w:rsid w:val="00104487"/>
    <w:rsid w:val="00111AB1"/>
    <w:rsid w:val="00112B99"/>
    <w:rsid w:val="00114F0B"/>
    <w:rsid w:val="001161EF"/>
    <w:rsid w:val="00122ED0"/>
    <w:rsid w:val="0012519B"/>
    <w:rsid w:val="001274D5"/>
    <w:rsid w:val="00127C83"/>
    <w:rsid w:val="0013259E"/>
    <w:rsid w:val="001352CE"/>
    <w:rsid w:val="001509F4"/>
    <w:rsid w:val="00160799"/>
    <w:rsid w:val="001635E9"/>
    <w:rsid w:val="00164909"/>
    <w:rsid w:val="00166C2A"/>
    <w:rsid w:val="0016748F"/>
    <w:rsid w:val="00167B69"/>
    <w:rsid w:val="0017087A"/>
    <w:rsid w:val="001709BB"/>
    <w:rsid w:val="00171113"/>
    <w:rsid w:val="001769DF"/>
    <w:rsid w:val="00180455"/>
    <w:rsid w:val="00182077"/>
    <w:rsid w:val="00182DA5"/>
    <w:rsid w:val="00186497"/>
    <w:rsid w:val="00187874"/>
    <w:rsid w:val="00191CCB"/>
    <w:rsid w:val="00193B06"/>
    <w:rsid w:val="00194662"/>
    <w:rsid w:val="00194FC5"/>
    <w:rsid w:val="00196AEB"/>
    <w:rsid w:val="001977AF"/>
    <w:rsid w:val="001A18B6"/>
    <w:rsid w:val="001A1AF6"/>
    <w:rsid w:val="001A4B45"/>
    <w:rsid w:val="001A4BE7"/>
    <w:rsid w:val="001A64FD"/>
    <w:rsid w:val="001A6604"/>
    <w:rsid w:val="001A79FA"/>
    <w:rsid w:val="001B0D61"/>
    <w:rsid w:val="001B290B"/>
    <w:rsid w:val="001B2C7F"/>
    <w:rsid w:val="001B4BEB"/>
    <w:rsid w:val="001B4F2C"/>
    <w:rsid w:val="001B60C3"/>
    <w:rsid w:val="001B76C4"/>
    <w:rsid w:val="001C0534"/>
    <w:rsid w:val="001C173E"/>
    <w:rsid w:val="001C181C"/>
    <w:rsid w:val="001C3D56"/>
    <w:rsid w:val="001C55C2"/>
    <w:rsid w:val="001C6D2B"/>
    <w:rsid w:val="001D0981"/>
    <w:rsid w:val="001E1528"/>
    <w:rsid w:val="001E5AF6"/>
    <w:rsid w:val="001E5BB1"/>
    <w:rsid w:val="001E6910"/>
    <w:rsid w:val="001F3CFB"/>
    <w:rsid w:val="001F664E"/>
    <w:rsid w:val="00201B4B"/>
    <w:rsid w:val="00203E27"/>
    <w:rsid w:val="002043C6"/>
    <w:rsid w:val="00206835"/>
    <w:rsid w:val="00207C5A"/>
    <w:rsid w:val="00212661"/>
    <w:rsid w:val="00215CC6"/>
    <w:rsid w:val="00220DF6"/>
    <w:rsid w:val="002255EF"/>
    <w:rsid w:val="002333A7"/>
    <w:rsid w:val="00234463"/>
    <w:rsid w:val="00237B28"/>
    <w:rsid w:val="00240743"/>
    <w:rsid w:val="00240E20"/>
    <w:rsid w:val="00241BCE"/>
    <w:rsid w:val="00242A2F"/>
    <w:rsid w:val="002455D7"/>
    <w:rsid w:val="002470C8"/>
    <w:rsid w:val="00251899"/>
    <w:rsid w:val="00253BCA"/>
    <w:rsid w:val="002636F6"/>
    <w:rsid w:val="0028203B"/>
    <w:rsid w:val="0028407E"/>
    <w:rsid w:val="00285028"/>
    <w:rsid w:val="0029265C"/>
    <w:rsid w:val="002A2040"/>
    <w:rsid w:val="002A43B2"/>
    <w:rsid w:val="002B6711"/>
    <w:rsid w:val="002C20A7"/>
    <w:rsid w:val="002C220C"/>
    <w:rsid w:val="002C3AF5"/>
    <w:rsid w:val="002C4AE2"/>
    <w:rsid w:val="002C64EB"/>
    <w:rsid w:val="002C7582"/>
    <w:rsid w:val="002D349C"/>
    <w:rsid w:val="002D4754"/>
    <w:rsid w:val="002E0B9D"/>
    <w:rsid w:val="002E2188"/>
    <w:rsid w:val="002E404D"/>
    <w:rsid w:val="002E6879"/>
    <w:rsid w:val="002E7CDC"/>
    <w:rsid w:val="002F2CF8"/>
    <w:rsid w:val="003001A4"/>
    <w:rsid w:val="0030358B"/>
    <w:rsid w:val="00310EF5"/>
    <w:rsid w:val="003129E4"/>
    <w:rsid w:val="00313692"/>
    <w:rsid w:val="00314964"/>
    <w:rsid w:val="003251F2"/>
    <w:rsid w:val="00330BD2"/>
    <w:rsid w:val="00330F8D"/>
    <w:rsid w:val="0034160E"/>
    <w:rsid w:val="00350000"/>
    <w:rsid w:val="0035319B"/>
    <w:rsid w:val="003573B4"/>
    <w:rsid w:val="00360133"/>
    <w:rsid w:val="00361211"/>
    <w:rsid w:val="003625AB"/>
    <w:rsid w:val="00370C8D"/>
    <w:rsid w:val="00370F77"/>
    <w:rsid w:val="00375EB1"/>
    <w:rsid w:val="0037681B"/>
    <w:rsid w:val="00382ADF"/>
    <w:rsid w:val="0039018A"/>
    <w:rsid w:val="003909B6"/>
    <w:rsid w:val="003932D7"/>
    <w:rsid w:val="00393B37"/>
    <w:rsid w:val="003979AE"/>
    <w:rsid w:val="003A4C04"/>
    <w:rsid w:val="003A6AA1"/>
    <w:rsid w:val="003B0AE5"/>
    <w:rsid w:val="003B1ABB"/>
    <w:rsid w:val="003B239B"/>
    <w:rsid w:val="003B25E8"/>
    <w:rsid w:val="003B2C96"/>
    <w:rsid w:val="003B628D"/>
    <w:rsid w:val="003B6B98"/>
    <w:rsid w:val="003C0592"/>
    <w:rsid w:val="003C35A4"/>
    <w:rsid w:val="003C3C79"/>
    <w:rsid w:val="003D4877"/>
    <w:rsid w:val="003D4CAA"/>
    <w:rsid w:val="003D7107"/>
    <w:rsid w:val="003E2874"/>
    <w:rsid w:val="003E50AF"/>
    <w:rsid w:val="003E67C4"/>
    <w:rsid w:val="003E7CE4"/>
    <w:rsid w:val="003F05B5"/>
    <w:rsid w:val="003F0A4B"/>
    <w:rsid w:val="003F2E2E"/>
    <w:rsid w:val="003F5934"/>
    <w:rsid w:val="003F5C52"/>
    <w:rsid w:val="00402FF6"/>
    <w:rsid w:val="0040475D"/>
    <w:rsid w:val="004117E7"/>
    <w:rsid w:val="00413263"/>
    <w:rsid w:val="00413367"/>
    <w:rsid w:val="00413A12"/>
    <w:rsid w:val="00416A63"/>
    <w:rsid w:val="00417756"/>
    <w:rsid w:val="00417A30"/>
    <w:rsid w:val="00417DAB"/>
    <w:rsid w:val="00426A96"/>
    <w:rsid w:val="00426B6A"/>
    <w:rsid w:val="00430A0C"/>
    <w:rsid w:val="00430AA0"/>
    <w:rsid w:val="00430D7A"/>
    <w:rsid w:val="00432DA9"/>
    <w:rsid w:val="0043497B"/>
    <w:rsid w:val="004354E8"/>
    <w:rsid w:val="004375F2"/>
    <w:rsid w:val="004407E6"/>
    <w:rsid w:val="00441947"/>
    <w:rsid w:val="00444F88"/>
    <w:rsid w:val="00445161"/>
    <w:rsid w:val="00447D9E"/>
    <w:rsid w:val="0045444D"/>
    <w:rsid w:val="0045782A"/>
    <w:rsid w:val="004578B1"/>
    <w:rsid w:val="00461D57"/>
    <w:rsid w:val="00462C4F"/>
    <w:rsid w:val="00465987"/>
    <w:rsid w:val="00466259"/>
    <w:rsid w:val="00471E10"/>
    <w:rsid w:val="00472C64"/>
    <w:rsid w:val="004749B4"/>
    <w:rsid w:val="00475044"/>
    <w:rsid w:val="00475594"/>
    <w:rsid w:val="00480C32"/>
    <w:rsid w:val="0048266B"/>
    <w:rsid w:val="00482C00"/>
    <w:rsid w:val="00483FE0"/>
    <w:rsid w:val="004843E1"/>
    <w:rsid w:val="00487590"/>
    <w:rsid w:val="00490625"/>
    <w:rsid w:val="00491F60"/>
    <w:rsid w:val="004A2A51"/>
    <w:rsid w:val="004A4661"/>
    <w:rsid w:val="004A4984"/>
    <w:rsid w:val="004B0546"/>
    <w:rsid w:val="004C0C85"/>
    <w:rsid w:val="004C1698"/>
    <w:rsid w:val="004C1B0D"/>
    <w:rsid w:val="004C44C5"/>
    <w:rsid w:val="004C5940"/>
    <w:rsid w:val="004C5DDB"/>
    <w:rsid w:val="004C69B5"/>
    <w:rsid w:val="004C6B7F"/>
    <w:rsid w:val="004D36A1"/>
    <w:rsid w:val="004D5CF7"/>
    <w:rsid w:val="004E018D"/>
    <w:rsid w:val="004E4E2B"/>
    <w:rsid w:val="004F00FC"/>
    <w:rsid w:val="004F014D"/>
    <w:rsid w:val="004F03DD"/>
    <w:rsid w:val="004F1637"/>
    <w:rsid w:val="004F364C"/>
    <w:rsid w:val="004F3F3D"/>
    <w:rsid w:val="004F62DC"/>
    <w:rsid w:val="005025ED"/>
    <w:rsid w:val="00502F84"/>
    <w:rsid w:val="00503FE4"/>
    <w:rsid w:val="00504FA7"/>
    <w:rsid w:val="00510B45"/>
    <w:rsid w:val="00511050"/>
    <w:rsid w:val="005138C6"/>
    <w:rsid w:val="00522DC2"/>
    <w:rsid w:val="00527A84"/>
    <w:rsid w:val="00551A23"/>
    <w:rsid w:val="005532C2"/>
    <w:rsid w:val="0055527A"/>
    <w:rsid w:val="00557FBC"/>
    <w:rsid w:val="00560CCA"/>
    <w:rsid w:val="00562D6D"/>
    <w:rsid w:val="00563A69"/>
    <w:rsid w:val="00564BEE"/>
    <w:rsid w:val="00566EA3"/>
    <w:rsid w:val="00570D08"/>
    <w:rsid w:val="00576629"/>
    <w:rsid w:val="00583213"/>
    <w:rsid w:val="00583FC6"/>
    <w:rsid w:val="00585773"/>
    <w:rsid w:val="005918E9"/>
    <w:rsid w:val="00593D35"/>
    <w:rsid w:val="005970E7"/>
    <w:rsid w:val="00597AE2"/>
    <w:rsid w:val="00597FF3"/>
    <w:rsid w:val="005B132B"/>
    <w:rsid w:val="005B1C5F"/>
    <w:rsid w:val="005B268E"/>
    <w:rsid w:val="005C15E4"/>
    <w:rsid w:val="005C1C4B"/>
    <w:rsid w:val="005C31A9"/>
    <w:rsid w:val="005C330E"/>
    <w:rsid w:val="005D369B"/>
    <w:rsid w:val="005D391F"/>
    <w:rsid w:val="005D4EF0"/>
    <w:rsid w:val="005E041B"/>
    <w:rsid w:val="005E0AC7"/>
    <w:rsid w:val="005E412E"/>
    <w:rsid w:val="005F292F"/>
    <w:rsid w:val="005F3E9D"/>
    <w:rsid w:val="006006D4"/>
    <w:rsid w:val="00603B1D"/>
    <w:rsid w:val="006055E4"/>
    <w:rsid w:val="00610CE8"/>
    <w:rsid w:val="00613D2C"/>
    <w:rsid w:val="00616F0B"/>
    <w:rsid w:val="00621613"/>
    <w:rsid w:val="00625993"/>
    <w:rsid w:val="00626EF8"/>
    <w:rsid w:val="006272AA"/>
    <w:rsid w:val="006278F1"/>
    <w:rsid w:val="00631F57"/>
    <w:rsid w:val="0064440E"/>
    <w:rsid w:val="0064490A"/>
    <w:rsid w:val="0064663F"/>
    <w:rsid w:val="00651A5D"/>
    <w:rsid w:val="00652FB4"/>
    <w:rsid w:val="00653A10"/>
    <w:rsid w:val="0065414D"/>
    <w:rsid w:val="0066442C"/>
    <w:rsid w:val="00665B41"/>
    <w:rsid w:val="0067438C"/>
    <w:rsid w:val="00674B0B"/>
    <w:rsid w:val="00675537"/>
    <w:rsid w:val="006808B9"/>
    <w:rsid w:val="00680C23"/>
    <w:rsid w:val="00682EB6"/>
    <w:rsid w:val="0068332B"/>
    <w:rsid w:val="00683C65"/>
    <w:rsid w:val="00684ECC"/>
    <w:rsid w:val="00686EE1"/>
    <w:rsid w:val="00692CFA"/>
    <w:rsid w:val="006A172A"/>
    <w:rsid w:val="006A6754"/>
    <w:rsid w:val="006A6F6A"/>
    <w:rsid w:val="006B2F2F"/>
    <w:rsid w:val="006B455C"/>
    <w:rsid w:val="006B77D1"/>
    <w:rsid w:val="006C2636"/>
    <w:rsid w:val="006C3085"/>
    <w:rsid w:val="006C394B"/>
    <w:rsid w:val="006C7577"/>
    <w:rsid w:val="006D56AC"/>
    <w:rsid w:val="006D7730"/>
    <w:rsid w:val="006D7F0C"/>
    <w:rsid w:val="006E203B"/>
    <w:rsid w:val="006E4D56"/>
    <w:rsid w:val="006E5714"/>
    <w:rsid w:val="006E6EA7"/>
    <w:rsid w:val="006E770D"/>
    <w:rsid w:val="006F0B36"/>
    <w:rsid w:val="006F4770"/>
    <w:rsid w:val="00705091"/>
    <w:rsid w:val="00712138"/>
    <w:rsid w:val="007169F5"/>
    <w:rsid w:val="007211A0"/>
    <w:rsid w:val="00721934"/>
    <w:rsid w:val="0072396F"/>
    <w:rsid w:val="00723DE9"/>
    <w:rsid w:val="007271AF"/>
    <w:rsid w:val="007273E6"/>
    <w:rsid w:val="007311A9"/>
    <w:rsid w:val="007325DC"/>
    <w:rsid w:val="0073611C"/>
    <w:rsid w:val="00741651"/>
    <w:rsid w:val="00741F25"/>
    <w:rsid w:val="00742389"/>
    <w:rsid w:val="00743F57"/>
    <w:rsid w:val="00744EE0"/>
    <w:rsid w:val="00746079"/>
    <w:rsid w:val="00746DAC"/>
    <w:rsid w:val="00752A20"/>
    <w:rsid w:val="00762917"/>
    <w:rsid w:val="00764E0C"/>
    <w:rsid w:val="0076600A"/>
    <w:rsid w:val="00766C6A"/>
    <w:rsid w:val="00766EF5"/>
    <w:rsid w:val="00771300"/>
    <w:rsid w:val="00772CF4"/>
    <w:rsid w:val="007737C4"/>
    <w:rsid w:val="00775CDF"/>
    <w:rsid w:val="00776766"/>
    <w:rsid w:val="00777073"/>
    <w:rsid w:val="0078021E"/>
    <w:rsid w:val="00780F85"/>
    <w:rsid w:val="00783359"/>
    <w:rsid w:val="007941F9"/>
    <w:rsid w:val="007A17AE"/>
    <w:rsid w:val="007A42D0"/>
    <w:rsid w:val="007B104A"/>
    <w:rsid w:val="007B3138"/>
    <w:rsid w:val="007B3740"/>
    <w:rsid w:val="007B72E5"/>
    <w:rsid w:val="007C0E8C"/>
    <w:rsid w:val="007C6FFA"/>
    <w:rsid w:val="007D5B99"/>
    <w:rsid w:val="007E535E"/>
    <w:rsid w:val="007E7E23"/>
    <w:rsid w:val="007F2188"/>
    <w:rsid w:val="007F7982"/>
    <w:rsid w:val="00800008"/>
    <w:rsid w:val="0080065E"/>
    <w:rsid w:val="008016C3"/>
    <w:rsid w:val="008067A3"/>
    <w:rsid w:val="00810848"/>
    <w:rsid w:val="00811D1F"/>
    <w:rsid w:val="00813091"/>
    <w:rsid w:val="00823B75"/>
    <w:rsid w:val="0082443C"/>
    <w:rsid w:val="00830707"/>
    <w:rsid w:val="0083174A"/>
    <w:rsid w:val="008410B7"/>
    <w:rsid w:val="00846FF8"/>
    <w:rsid w:val="00847A42"/>
    <w:rsid w:val="00847CDD"/>
    <w:rsid w:val="008521DD"/>
    <w:rsid w:val="008534A5"/>
    <w:rsid w:val="00854F34"/>
    <w:rsid w:val="00855368"/>
    <w:rsid w:val="00857C89"/>
    <w:rsid w:val="00865449"/>
    <w:rsid w:val="00867141"/>
    <w:rsid w:val="008674AC"/>
    <w:rsid w:val="0087014D"/>
    <w:rsid w:val="0087447C"/>
    <w:rsid w:val="00877BB1"/>
    <w:rsid w:val="008800F3"/>
    <w:rsid w:val="00883F81"/>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1F2C"/>
    <w:rsid w:val="008C2CD3"/>
    <w:rsid w:val="008C53AA"/>
    <w:rsid w:val="008C6894"/>
    <w:rsid w:val="008D1CEE"/>
    <w:rsid w:val="008D4F9D"/>
    <w:rsid w:val="008D56E2"/>
    <w:rsid w:val="008D57D4"/>
    <w:rsid w:val="008D67F0"/>
    <w:rsid w:val="008E3CAA"/>
    <w:rsid w:val="008E451A"/>
    <w:rsid w:val="008E4A9F"/>
    <w:rsid w:val="008E5549"/>
    <w:rsid w:val="008E5BE6"/>
    <w:rsid w:val="008E673A"/>
    <w:rsid w:val="008E7B04"/>
    <w:rsid w:val="008F2879"/>
    <w:rsid w:val="008F301C"/>
    <w:rsid w:val="008F3142"/>
    <w:rsid w:val="008F7925"/>
    <w:rsid w:val="00906D77"/>
    <w:rsid w:val="00911CD5"/>
    <w:rsid w:val="00916653"/>
    <w:rsid w:val="0091727E"/>
    <w:rsid w:val="00920445"/>
    <w:rsid w:val="0092054A"/>
    <w:rsid w:val="00921DCB"/>
    <w:rsid w:val="00922BA1"/>
    <w:rsid w:val="00924FD5"/>
    <w:rsid w:val="00925A59"/>
    <w:rsid w:val="00927253"/>
    <w:rsid w:val="009301FC"/>
    <w:rsid w:val="00930E73"/>
    <w:rsid w:val="00936B60"/>
    <w:rsid w:val="009405FC"/>
    <w:rsid w:val="0094103E"/>
    <w:rsid w:val="009442B9"/>
    <w:rsid w:val="009456B7"/>
    <w:rsid w:val="00945961"/>
    <w:rsid w:val="009475B4"/>
    <w:rsid w:val="00952DFC"/>
    <w:rsid w:val="009530AA"/>
    <w:rsid w:val="00953821"/>
    <w:rsid w:val="00956989"/>
    <w:rsid w:val="009613DD"/>
    <w:rsid w:val="00964BB2"/>
    <w:rsid w:val="00965A1D"/>
    <w:rsid w:val="00965E82"/>
    <w:rsid w:val="00972DC9"/>
    <w:rsid w:val="00977AA4"/>
    <w:rsid w:val="00981ACB"/>
    <w:rsid w:val="00983066"/>
    <w:rsid w:val="0098375A"/>
    <w:rsid w:val="00993A5C"/>
    <w:rsid w:val="00995AF2"/>
    <w:rsid w:val="009A078A"/>
    <w:rsid w:val="009A4F5C"/>
    <w:rsid w:val="009A5551"/>
    <w:rsid w:val="009B3E6F"/>
    <w:rsid w:val="009B4985"/>
    <w:rsid w:val="009B702B"/>
    <w:rsid w:val="009C4014"/>
    <w:rsid w:val="009C72C0"/>
    <w:rsid w:val="009D1A1B"/>
    <w:rsid w:val="009D6FA4"/>
    <w:rsid w:val="009D7C3D"/>
    <w:rsid w:val="009E278E"/>
    <w:rsid w:val="009E44FB"/>
    <w:rsid w:val="009F0D88"/>
    <w:rsid w:val="009F1103"/>
    <w:rsid w:val="009F3A48"/>
    <w:rsid w:val="009F5952"/>
    <w:rsid w:val="00A02690"/>
    <w:rsid w:val="00A06FE5"/>
    <w:rsid w:val="00A12F1B"/>
    <w:rsid w:val="00A15691"/>
    <w:rsid w:val="00A163C9"/>
    <w:rsid w:val="00A1763E"/>
    <w:rsid w:val="00A206BF"/>
    <w:rsid w:val="00A2078A"/>
    <w:rsid w:val="00A21769"/>
    <w:rsid w:val="00A22D50"/>
    <w:rsid w:val="00A255CF"/>
    <w:rsid w:val="00A30472"/>
    <w:rsid w:val="00A31F06"/>
    <w:rsid w:val="00A33F35"/>
    <w:rsid w:val="00A34652"/>
    <w:rsid w:val="00A547CF"/>
    <w:rsid w:val="00A57CB3"/>
    <w:rsid w:val="00A61CB9"/>
    <w:rsid w:val="00A6540D"/>
    <w:rsid w:val="00A666B6"/>
    <w:rsid w:val="00A7242F"/>
    <w:rsid w:val="00A74C4C"/>
    <w:rsid w:val="00A7514E"/>
    <w:rsid w:val="00A7597D"/>
    <w:rsid w:val="00A778BC"/>
    <w:rsid w:val="00A82E67"/>
    <w:rsid w:val="00A83249"/>
    <w:rsid w:val="00A838EF"/>
    <w:rsid w:val="00AA24A8"/>
    <w:rsid w:val="00AB43BC"/>
    <w:rsid w:val="00AC0555"/>
    <w:rsid w:val="00AC09B5"/>
    <w:rsid w:val="00AC160E"/>
    <w:rsid w:val="00AC22CE"/>
    <w:rsid w:val="00AC5381"/>
    <w:rsid w:val="00AC76C9"/>
    <w:rsid w:val="00AC7D29"/>
    <w:rsid w:val="00AD2B43"/>
    <w:rsid w:val="00AD4155"/>
    <w:rsid w:val="00AD5F92"/>
    <w:rsid w:val="00AD7DD7"/>
    <w:rsid w:val="00AE1D08"/>
    <w:rsid w:val="00AE273A"/>
    <w:rsid w:val="00AE36A5"/>
    <w:rsid w:val="00AE62B7"/>
    <w:rsid w:val="00AF00AB"/>
    <w:rsid w:val="00AF00B6"/>
    <w:rsid w:val="00AF0866"/>
    <w:rsid w:val="00AF4375"/>
    <w:rsid w:val="00AF4B49"/>
    <w:rsid w:val="00AF780A"/>
    <w:rsid w:val="00AF7E0E"/>
    <w:rsid w:val="00B01A5A"/>
    <w:rsid w:val="00B0428E"/>
    <w:rsid w:val="00B04553"/>
    <w:rsid w:val="00B050F4"/>
    <w:rsid w:val="00B0737B"/>
    <w:rsid w:val="00B0768B"/>
    <w:rsid w:val="00B10C3A"/>
    <w:rsid w:val="00B11932"/>
    <w:rsid w:val="00B11D08"/>
    <w:rsid w:val="00B15432"/>
    <w:rsid w:val="00B16058"/>
    <w:rsid w:val="00B1714E"/>
    <w:rsid w:val="00B173C9"/>
    <w:rsid w:val="00B21653"/>
    <w:rsid w:val="00B31D45"/>
    <w:rsid w:val="00B3258C"/>
    <w:rsid w:val="00B32F87"/>
    <w:rsid w:val="00B33428"/>
    <w:rsid w:val="00B370BA"/>
    <w:rsid w:val="00B42F4D"/>
    <w:rsid w:val="00B46687"/>
    <w:rsid w:val="00B50959"/>
    <w:rsid w:val="00B51A9F"/>
    <w:rsid w:val="00B542B5"/>
    <w:rsid w:val="00B611CA"/>
    <w:rsid w:val="00B615BD"/>
    <w:rsid w:val="00B656C3"/>
    <w:rsid w:val="00B666E4"/>
    <w:rsid w:val="00B72CFC"/>
    <w:rsid w:val="00B76721"/>
    <w:rsid w:val="00B81BF1"/>
    <w:rsid w:val="00B826AD"/>
    <w:rsid w:val="00B86FF4"/>
    <w:rsid w:val="00B877CC"/>
    <w:rsid w:val="00B92235"/>
    <w:rsid w:val="00B942D5"/>
    <w:rsid w:val="00B946AA"/>
    <w:rsid w:val="00BA08A1"/>
    <w:rsid w:val="00BA0E44"/>
    <w:rsid w:val="00BA5C49"/>
    <w:rsid w:val="00BB0009"/>
    <w:rsid w:val="00BB1A05"/>
    <w:rsid w:val="00BB5571"/>
    <w:rsid w:val="00BB7263"/>
    <w:rsid w:val="00BC018F"/>
    <w:rsid w:val="00BC7B61"/>
    <w:rsid w:val="00BD1FEF"/>
    <w:rsid w:val="00BD69AF"/>
    <w:rsid w:val="00BD7A78"/>
    <w:rsid w:val="00BE512E"/>
    <w:rsid w:val="00BE7DF8"/>
    <w:rsid w:val="00BF2BDC"/>
    <w:rsid w:val="00BF3127"/>
    <w:rsid w:val="00BF5916"/>
    <w:rsid w:val="00BF7A69"/>
    <w:rsid w:val="00C04D41"/>
    <w:rsid w:val="00C04D58"/>
    <w:rsid w:val="00C0552D"/>
    <w:rsid w:val="00C2487B"/>
    <w:rsid w:val="00C26CDD"/>
    <w:rsid w:val="00C26E29"/>
    <w:rsid w:val="00C40B63"/>
    <w:rsid w:val="00C40B7C"/>
    <w:rsid w:val="00C50E27"/>
    <w:rsid w:val="00C53416"/>
    <w:rsid w:val="00C538C6"/>
    <w:rsid w:val="00C54B21"/>
    <w:rsid w:val="00C55C33"/>
    <w:rsid w:val="00C562AD"/>
    <w:rsid w:val="00C56CD6"/>
    <w:rsid w:val="00C61466"/>
    <w:rsid w:val="00C65463"/>
    <w:rsid w:val="00C71CAC"/>
    <w:rsid w:val="00C72015"/>
    <w:rsid w:val="00C73B22"/>
    <w:rsid w:val="00C75B5A"/>
    <w:rsid w:val="00C82610"/>
    <w:rsid w:val="00C835D5"/>
    <w:rsid w:val="00C8446D"/>
    <w:rsid w:val="00C844C8"/>
    <w:rsid w:val="00C84EF7"/>
    <w:rsid w:val="00C869E2"/>
    <w:rsid w:val="00C8723B"/>
    <w:rsid w:val="00C90FE4"/>
    <w:rsid w:val="00C91830"/>
    <w:rsid w:val="00C91BAD"/>
    <w:rsid w:val="00C95D0F"/>
    <w:rsid w:val="00CA01C6"/>
    <w:rsid w:val="00CA2648"/>
    <w:rsid w:val="00CA6012"/>
    <w:rsid w:val="00CB2979"/>
    <w:rsid w:val="00CB3551"/>
    <w:rsid w:val="00CC517D"/>
    <w:rsid w:val="00CC5483"/>
    <w:rsid w:val="00CD0982"/>
    <w:rsid w:val="00CD20CB"/>
    <w:rsid w:val="00CD2975"/>
    <w:rsid w:val="00CD6512"/>
    <w:rsid w:val="00CE5026"/>
    <w:rsid w:val="00CF0D45"/>
    <w:rsid w:val="00CF47ED"/>
    <w:rsid w:val="00CF7411"/>
    <w:rsid w:val="00D05802"/>
    <w:rsid w:val="00D059F6"/>
    <w:rsid w:val="00D067C0"/>
    <w:rsid w:val="00D06B48"/>
    <w:rsid w:val="00D16710"/>
    <w:rsid w:val="00D16E5F"/>
    <w:rsid w:val="00D244CB"/>
    <w:rsid w:val="00D35B28"/>
    <w:rsid w:val="00D36009"/>
    <w:rsid w:val="00D37437"/>
    <w:rsid w:val="00D37D0B"/>
    <w:rsid w:val="00D403D5"/>
    <w:rsid w:val="00D40690"/>
    <w:rsid w:val="00D4270D"/>
    <w:rsid w:val="00D43792"/>
    <w:rsid w:val="00D50DEA"/>
    <w:rsid w:val="00D51BE9"/>
    <w:rsid w:val="00D51E45"/>
    <w:rsid w:val="00D53967"/>
    <w:rsid w:val="00D540A7"/>
    <w:rsid w:val="00D55C4F"/>
    <w:rsid w:val="00D56D4C"/>
    <w:rsid w:val="00D6119F"/>
    <w:rsid w:val="00D62DC7"/>
    <w:rsid w:val="00D63D7D"/>
    <w:rsid w:val="00D673EF"/>
    <w:rsid w:val="00D70413"/>
    <w:rsid w:val="00D71EFE"/>
    <w:rsid w:val="00D748C2"/>
    <w:rsid w:val="00D7530D"/>
    <w:rsid w:val="00D80A72"/>
    <w:rsid w:val="00D86082"/>
    <w:rsid w:val="00D87076"/>
    <w:rsid w:val="00D87573"/>
    <w:rsid w:val="00D90788"/>
    <w:rsid w:val="00D9522E"/>
    <w:rsid w:val="00D96E4C"/>
    <w:rsid w:val="00DA3947"/>
    <w:rsid w:val="00DA4E5D"/>
    <w:rsid w:val="00DA5D36"/>
    <w:rsid w:val="00DA68A1"/>
    <w:rsid w:val="00DC6B61"/>
    <w:rsid w:val="00DC75B6"/>
    <w:rsid w:val="00DC7ED7"/>
    <w:rsid w:val="00DD3C82"/>
    <w:rsid w:val="00DD3D7E"/>
    <w:rsid w:val="00DD788B"/>
    <w:rsid w:val="00DE0133"/>
    <w:rsid w:val="00DE4687"/>
    <w:rsid w:val="00DE572B"/>
    <w:rsid w:val="00DF1F47"/>
    <w:rsid w:val="00DF569C"/>
    <w:rsid w:val="00DF73DB"/>
    <w:rsid w:val="00DF7667"/>
    <w:rsid w:val="00DF7766"/>
    <w:rsid w:val="00E0297C"/>
    <w:rsid w:val="00E0759D"/>
    <w:rsid w:val="00E0779B"/>
    <w:rsid w:val="00E14F08"/>
    <w:rsid w:val="00E15ECB"/>
    <w:rsid w:val="00E1780F"/>
    <w:rsid w:val="00E20992"/>
    <w:rsid w:val="00E228D7"/>
    <w:rsid w:val="00E23C56"/>
    <w:rsid w:val="00E3160D"/>
    <w:rsid w:val="00E40A6E"/>
    <w:rsid w:val="00E40CED"/>
    <w:rsid w:val="00E41881"/>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6457"/>
    <w:rsid w:val="00E818E2"/>
    <w:rsid w:val="00E86193"/>
    <w:rsid w:val="00E9293C"/>
    <w:rsid w:val="00EA16E3"/>
    <w:rsid w:val="00EA33C1"/>
    <w:rsid w:val="00EA39E1"/>
    <w:rsid w:val="00EB0621"/>
    <w:rsid w:val="00EB6940"/>
    <w:rsid w:val="00EB6D67"/>
    <w:rsid w:val="00EC0587"/>
    <w:rsid w:val="00EC0798"/>
    <w:rsid w:val="00EC1198"/>
    <w:rsid w:val="00EC1520"/>
    <w:rsid w:val="00ED23A0"/>
    <w:rsid w:val="00ED23E9"/>
    <w:rsid w:val="00ED5994"/>
    <w:rsid w:val="00ED7DE7"/>
    <w:rsid w:val="00EE412A"/>
    <w:rsid w:val="00EE6A77"/>
    <w:rsid w:val="00EE7E62"/>
    <w:rsid w:val="00EF68C5"/>
    <w:rsid w:val="00F02293"/>
    <w:rsid w:val="00F07361"/>
    <w:rsid w:val="00F07DC1"/>
    <w:rsid w:val="00F12615"/>
    <w:rsid w:val="00F17B92"/>
    <w:rsid w:val="00F21E78"/>
    <w:rsid w:val="00F22AFA"/>
    <w:rsid w:val="00F27AC8"/>
    <w:rsid w:val="00F3379A"/>
    <w:rsid w:val="00F34E4E"/>
    <w:rsid w:val="00F45E9D"/>
    <w:rsid w:val="00F47C76"/>
    <w:rsid w:val="00F50C59"/>
    <w:rsid w:val="00F54992"/>
    <w:rsid w:val="00F5549C"/>
    <w:rsid w:val="00F602D8"/>
    <w:rsid w:val="00F61CA5"/>
    <w:rsid w:val="00F64AB8"/>
    <w:rsid w:val="00F64C56"/>
    <w:rsid w:val="00F66720"/>
    <w:rsid w:val="00F67F3D"/>
    <w:rsid w:val="00F75296"/>
    <w:rsid w:val="00F761A9"/>
    <w:rsid w:val="00F77170"/>
    <w:rsid w:val="00F77BCB"/>
    <w:rsid w:val="00F802CD"/>
    <w:rsid w:val="00F84274"/>
    <w:rsid w:val="00F901F7"/>
    <w:rsid w:val="00F93FD1"/>
    <w:rsid w:val="00FA6D88"/>
    <w:rsid w:val="00FA7639"/>
    <w:rsid w:val="00FB3C12"/>
    <w:rsid w:val="00FB7004"/>
    <w:rsid w:val="00FB7E88"/>
    <w:rsid w:val="00FC3F44"/>
    <w:rsid w:val="00FD2A15"/>
    <w:rsid w:val="00FD4016"/>
    <w:rsid w:val="00FD4C4A"/>
    <w:rsid w:val="00FD5D67"/>
    <w:rsid w:val="00FD67B7"/>
    <w:rsid w:val="00FD7D8C"/>
    <w:rsid w:val="00FF07B6"/>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41CC39A-3EE7-48A0-8A6A-32572143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64963407">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11B1-B3A0-4524-AA76-CABBABDF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4</TotalTime>
  <Pages>8</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Paul Beevor</cp:lastModifiedBy>
  <cp:revision>5</cp:revision>
  <cp:lastPrinted>2019-02-06T12:13:00Z</cp:lastPrinted>
  <dcterms:created xsi:type="dcterms:W3CDTF">2020-01-22T20:17:00Z</dcterms:created>
  <dcterms:modified xsi:type="dcterms:W3CDTF">2020-01-23T10:12:00Z</dcterms:modified>
</cp:coreProperties>
</file>